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NormalTable"/>
        <w:name w:val="Таблица1"/>
        <w:tabOrder w:val="0"/>
        <w:jc w:val="left"/>
        <w:tblInd w:w="0" w:type="dxa"/>
        <w:tblW w:w="10182" w:type="dxa"/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710"/>
      </w:tblGrid>
      <w:tr>
        <w:trPr>
          <w:tblHeader w:val="0"/>
          <w:cantSplit w:val="0"/>
          <w:trHeight w:val="1210" w:hRule="atLeast"/>
        </w:trPr>
        <w:tc>
          <w:tcPr>
            <w:tcW w:w="10182" w:type="dxa"/>
            <w:gridSpan w:val="10"/>
            <w:tmTcPr id="1754279235" protected="0"/>
          </w:tcPr>
          <w:p>
            <w:pPr>
              <w:spacing/>
              <w:jc w:val="center"/>
              <w:hyphenationLines w:val="1"/>
              <w:rPr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30"/>
                          <pic:cNvPicPr>
                            <a:picLocks noChangeAspect="1"/>
                            <a:extLst>
                              <a:ext uri="sm">
                                <sm:smNativeData xmlns:sm="sm" val="SMDATA_16_Qy2Q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1336" w:hRule="atLeast"/>
        </w:trPr>
        <w:tc>
          <w:tcPr>
            <w:tcW w:w="10182" w:type="dxa"/>
            <w:gridSpan w:val="10"/>
            <w:tmTcPr id="1754279235" protected="0"/>
          </w:tcPr>
          <w:p>
            <w:pPr>
              <w:spacing/>
              <w:jc w:val="center"/>
              <w:hyphenationLines w:val="1"/>
              <w:rPr>
                <w:b/>
                <w:caps/>
                <w:sz w:val="28"/>
                <w:szCs w:val="28"/>
                <w:lang w:eastAsia="ru-ru"/>
              </w:rPr>
            </w:pPr>
            <w:r/>
            <w:bookmarkStart w:id="0" w:name="r06"/>
            <w:r/>
            <w:r>
              <w:rPr>
                <w:b/>
                <w:caps/>
                <w:sz w:val="28"/>
                <w:szCs w:val="28"/>
                <w:lang w:eastAsia="ru-ru"/>
              </w:rPr>
              <w:t>КЕМЕРОВСКАЯ ОБЛАСТЬ-КУЗБАСС</w:t>
            </w:r>
            <w:r>
              <w:rPr>
                <w:b/>
                <w:caps/>
                <w:sz w:val="28"/>
                <w:szCs w:val="28"/>
                <w:lang w:eastAsia="ru-ru"/>
              </w:rPr>
            </w:r>
          </w:p>
          <w:p>
            <w:pPr>
              <w:spacing/>
              <w:jc w:val="center"/>
              <w:hyphenationLines w:val="1"/>
              <w:rPr>
                <w:b/>
                <w:caps/>
                <w:sz w:val="28"/>
                <w:szCs w:val="28"/>
                <w:lang w:eastAsia="ru-ru"/>
              </w:rPr>
            </w:pPr>
            <w:r>
              <w:rPr>
                <w:b/>
                <w:caps/>
                <w:sz w:val="28"/>
                <w:szCs w:val="28"/>
                <w:lang w:eastAsia="ru-ru"/>
              </w:rPr>
              <w:t>Анжеро-Судженский городской округ</w:t>
            </w:r>
          </w:p>
          <w:p>
            <w:pPr>
              <w:spacing/>
              <w:jc w:val="center"/>
              <w:hyphenationLines w:val="1"/>
              <w:rPr>
                <w:b/>
                <w:caps/>
                <w:sz w:val="28"/>
                <w:szCs w:val="28"/>
                <w:lang w:eastAsia="ru-ru"/>
              </w:rPr>
            </w:pPr>
            <w:r>
              <w:rPr>
                <w:b/>
                <w:caps/>
                <w:sz w:val="28"/>
                <w:szCs w:val="28"/>
                <w:lang w:eastAsia="ru-ru"/>
              </w:rPr>
              <w:t>Администрация Анжеро-Судженского</w:t>
            </w:r>
            <w:r/>
            <w:bookmarkEnd w:id="0"/>
            <w:r/>
            <w:r>
              <w:rPr>
                <w:b/>
                <w:caps/>
                <w:sz w:val="28"/>
                <w:szCs w:val="28"/>
                <w:lang w:eastAsia="ru-ru"/>
              </w:rPr>
              <w:t xml:space="preserve"> городского округа</w:t>
            </w:r>
            <w:r>
              <w:rPr>
                <w:b/>
                <w:caps/>
                <w:sz w:val="28"/>
                <w:szCs w:val="28"/>
                <w:lang w:eastAsia="ru-ru"/>
              </w:rPr>
            </w:r>
          </w:p>
          <w:p>
            <w:pPr>
              <w:spacing/>
              <w:jc w:val="center"/>
              <w:hyphenationLines w:val="1"/>
              <w:rPr>
                <w:rFonts w:ascii="Arial Narrow" w:hAnsi="Arial Narrow"/>
                <w:b/>
                <w:caps/>
                <w:sz w:val="26"/>
                <w:szCs w:val="26"/>
                <w:lang w:eastAsia="ru-ru"/>
              </w:rPr>
            </w:pPr>
            <w:r>
              <w:rPr>
                <w:rFonts w:ascii="Arial Narrow" w:hAnsi="Arial Narrow"/>
                <w:b/>
                <w:caps/>
                <w:sz w:val="26"/>
                <w:szCs w:val="26"/>
                <w:lang w:eastAsia="ru-ru"/>
              </w:rPr>
            </w:r>
          </w:p>
        </w:tc>
      </w:tr>
      <w:tr>
        <w:trPr>
          <w:tblHeader w:val="0"/>
          <w:cantSplit w:val="0"/>
          <w:trHeight w:val="493" w:hRule="atLeast"/>
        </w:trPr>
        <w:tc>
          <w:tcPr>
            <w:tcW w:w="10182" w:type="dxa"/>
            <w:gridSpan w:val="10"/>
            <w:tmTcPr id="1754279235" protected="0"/>
          </w:tcPr>
          <w:p>
            <w:pPr>
              <w:spacing/>
              <w:jc w:val="center"/>
              <w:hyphenationLines w:val="1"/>
              <w:rPr>
                <w:rFonts w:ascii="Arial Narrow" w:hAnsi="Arial Narrow"/>
                <w:b/>
                <w:caps/>
                <w:sz w:val="24"/>
                <w:szCs w:val="24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Arial Narrow" w:hAnsi="Arial Narrow"/>
                <w:b/>
                <w:caps/>
                <w:sz w:val="24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10182" w:type="dxa"/>
            <w:gridSpan w:val="10"/>
            <w:tmTcPr id="1754279235" protected="0"/>
          </w:tcPr>
          <w:p>
            <w:pPr>
              <w:hyphenationLines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blHeader w:val="0"/>
          <w:cantSplit w:val="0"/>
          <w:trHeight w:val="339" w:hRule="atLeast"/>
        </w:trPr>
        <w:tc>
          <w:tcPr>
            <w:tcW w:w="1529" w:type="dxa"/>
            <w:tmTcPr id="1754279235" protected="0"/>
          </w:tcPr>
          <w:p>
            <w:pPr>
              <w:ind w:right="33"/>
              <w:spacing/>
              <w:jc w:val="right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000000" tmln="10, 20, 20, 0, 0"/>
            </w:tcBorders>
            <w:tmTcPr id="1754279235" protected="0"/>
          </w:tcPr>
          <w:p>
            <w:pPr>
              <w:spacing/>
              <w:jc w:val="center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96" w:type="dxa"/>
            <w:tmTcPr id="1754279235" protected="0"/>
          </w:tcPr>
          <w:p>
            <w:pPr>
              <w:spacing/>
              <w:jc w:val="both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000000" tmln="10, 20, 20, 0, 0"/>
            </w:tcBorders>
            <w:tmTcPr id="1754279235" protected="0"/>
          </w:tcPr>
          <w:p>
            <w:pPr>
              <w:spacing/>
              <w:jc w:val="center"/>
              <w:hyphenationLines w:val="1"/>
              <w:rPr>
                <w:sz w:val="28"/>
                <w:szCs w:val="28"/>
                <w:lang w:eastAsia="ru-ru"/>
              </w:rPr>
            </w:pPr>
            <w:r/>
            <w:bookmarkStart w:id="1" w:name="r09m"/>
            <w:r/>
            <w:r>
              <w:rPr>
                <w:sz w:val="28"/>
                <w:szCs w:val="28"/>
                <w:lang w:eastAsia="ru-ru"/>
              </w:rPr>
              <w:t xml:space="preserve">августа   </w:t>
            </w:r>
            <w:r/>
            <w:bookmarkEnd w:id="1"/>
            <w:r/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529" w:type="dxa"/>
            <w:tmTcPr id="1754279235" protected="0"/>
          </w:tcPr>
          <w:p>
            <w:pPr>
              <w:ind w:right="-76"/>
              <w:spacing/>
              <w:jc w:val="right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000000" tmln="10, 20, 20, 0, 0"/>
            </w:tcBorders>
            <w:tmTcPr id="1754279235" protected="0"/>
          </w:tcPr>
          <w:p>
            <w:pPr>
              <w:ind w:right="-152"/>
              <w:hyphenationLines w:val="1"/>
              <w:rPr>
                <w:sz w:val="28"/>
                <w:szCs w:val="28"/>
                <w:lang w:eastAsia="ru-ru"/>
              </w:rPr>
            </w:pPr>
            <w:r/>
            <w:bookmarkStart w:id="2" w:name="r09y"/>
            <w:r/>
            <w:r>
              <w:rPr>
                <w:sz w:val="28"/>
                <w:szCs w:val="28"/>
                <w:lang w:eastAsia="ru-ru"/>
              </w:rPr>
              <w:t xml:space="preserve"> </w:t>
            </w:r>
            <w:r/>
            <w:bookmarkEnd w:id="2"/>
            <w:r/>
            <w:r>
              <w:rPr>
                <w:sz w:val="28"/>
                <w:szCs w:val="28"/>
                <w:lang w:eastAsia="ru-ru"/>
              </w:rPr>
              <w:t>25</w:t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585" w:type="dxa"/>
            <w:tmTcPr id="1754279235" protected="0"/>
          </w:tcPr>
          <w:p>
            <w:pPr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86" w:type="dxa"/>
            <w:tmTcPr id="1754279235" protected="0"/>
          </w:tcPr>
          <w:p>
            <w:pPr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000000" tmln="10, 20, 20, 0, 0"/>
            </w:tcBorders>
            <w:tmTcPr id="1754279235" protected="0"/>
          </w:tcPr>
          <w:p>
            <w:pPr>
              <w:spacing/>
              <w:jc w:val="center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1710" w:type="dxa"/>
            <w:tmTcPr id="1754279235" protected="0"/>
          </w:tcPr>
          <w:p>
            <w:pPr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blHeader w:val="0"/>
          <w:cantSplit w:val="0"/>
          <w:trHeight w:val="371" w:hRule="atLeast"/>
        </w:trPr>
        <w:tc>
          <w:tcPr>
            <w:tcW w:w="10182" w:type="dxa"/>
            <w:gridSpan w:val="10"/>
            <w:tmTcPr id="1754279235" protected="0"/>
          </w:tcPr>
          <w:p>
            <w:pPr>
              <w:spacing/>
              <w:jc w:val="center"/>
              <w:hyphenationLines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</w:tbl>
    <w:p>
      <w:pPr>
        <w:spacing/>
        <w:jc w:val="center"/>
        <w:rPr>
          <w:b/>
          <w:sz w:val="28"/>
          <w:szCs w:val="28"/>
          <w:u w:color="auto" w:val="single"/>
        </w:rPr>
      </w:pPr>
      <w:r>
        <w:rPr>
          <w:b/>
          <w:sz w:val="28"/>
          <w:szCs w:val="28"/>
          <w:u w:color="auto" w:val="single"/>
        </w:rPr>
      </w:r>
    </w:p>
    <w:p>
      <w:pPr>
        <w:spacing/>
        <w:jc w:val="center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Анжеро-Судженского городского округа от 30.06.2025 № 688 «Об</w:t>
      </w:r>
      <w:r>
        <w:rPr>
          <w:b/>
          <w:color w:val="000000"/>
          <w:sz w:val="28"/>
          <w:szCs w:val="28"/>
        </w:rPr>
        <w:t xml:space="preserve"> организации работ </w:t>
      </w:r>
      <w:r>
        <w:rPr>
          <w:b/>
          <w:color w:val="34343c"/>
          <w:sz w:val="28"/>
          <w:szCs w:val="28"/>
          <w:lang w:eastAsia="ru-ru"/>
        </w:rPr>
        <w:t xml:space="preserve">по оценке обеспечения готовности к отопительному периоду 2025-2026 годов теплоснабжающих и теплосетевых организаций, потребителей тепловой энергии на территории </w:t>
      </w:r>
      <w:r>
        <w:rPr>
          <w:b/>
          <w:color w:val="000000"/>
          <w:sz w:val="28"/>
          <w:szCs w:val="28"/>
        </w:rPr>
        <w:t>Анжеро-Судженского городского округа»</w:t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both"/>
        <w:hyphenationLines w:val="1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1.Внести в постановление администрации Анжеро-Судженского городского округа от 30.06.2025 №688 «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 организации работ </w:t>
      </w:r>
      <w:r>
        <w:rPr>
          <w:color w:val="34343c"/>
          <w:sz w:val="28"/>
          <w:szCs w:val="28"/>
          <w:lang w:eastAsia="ru-ru"/>
        </w:rPr>
        <w:t>по оценке обеспечения</w:t>
      </w:r>
      <w:r>
        <w:rPr>
          <w:color w:val="34343c"/>
          <w:sz w:val="28"/>
          <w:szCs w:val="28"/>
          <w:lang w:eastAsia="ru-ru"/>
        </w:rPr>
        <w:t xml:space="preserve"> </w:t>
      </w:r>
      <w:r>
        <w:rPr>
          <w:color w:val="34343c"/>
          <w:sz w:val="28"/>
          <w:szCs w:val="28"/>
          <w:lang w:eastAsia="ru-ru"/>
        </w:rPr>
        <w:t xml:space="preserve">готовности к отопительному периоду 2025-2026 годов теплоснабжающих и </w:t>
      </w:r>
      <w:r>
        <w:rPr>
          <w:color w:val="34343c"/>
          <w:sz w:val="28"/>
          <w:szCs w:val="28"/>
          <w:lang w:eastAsia="ru-ru"/>
        </w:rPr>
        <w:t>теплосетевых</w:t>
      </w:r>
      <w:r>
        <w:rPr>
          <w:color w:val="34343c"/>
          <w:sz w:val="28"/>
          <w:szCs w:val="28"/>
          <w:lang w:eastAsia="ru-ru"/>
        </w:rPr>
        <w:t xml:space="preserve"> организаций, потребителей тепловой энергии на территории </w:t>
      </w:r>
      <w:r>
        <w:rPr>
          <w:color w:val="000000"/>
          <w:sz w:val="28"/>
          <w:szCs w:val="28"/>
        </w:rPr>
        <w:t>Анжеро-Судженского городского округа</w:t>
      </w:r>
      <w:r>
        <w:rPr>
          <w:sz w:val="28"/>
          <w:szCs w:val="28"/>
          <w:lang w:eastAsia="ru-ru"/>
        </w:rPr>
        <w:t>» следующие изменения:</w:t>
      </w:r>
      <w:r>
        <w:rPr>
          <w:sz w:val="28"/>
          <w:szCs w:val="28"/>
          <w:lang w:eastAsia="ru-ru"/>
        </w:rPr>
      </w:r>
    </w:p>
    <w:p>
      <w:pPr>
        <w:spacing/>
        <w:jc w:val="both"/>
        <w:hyphenationLines w:val="1"/>
        <w:tabs defTabSz="708">
          <w:tab w:val="right" w:pos="99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1.1. График проведения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оценки обеспечения готовности к отопительному периоду 2025/2026 гг. изложить в новой редакции согласно приложению, к настоящему постановлению.</w:t>
      </w:r>
    </w:p>
    <w:p>
      <w:pPr>
        <w:ind w:firstLine="709"/>
        <w:spacing/>
        <w:jc w:val="both"/>
        <w:hyphenationLines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Разместить настоящее постановление на официальном сайте Анжеро-Судженского городского округа в информационно-телекоммуникационной сети «Интернет».</w:t>
      </w:r>
    </w:p>
    <w:p>
      <w:pPr>
        <w:ind w:firstLine="709"/>
        <w:spacing/>
        <w:jc w:val="both"/>
        <w:hyphenationLines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Контроль за исполнением постановления возложить на заместителя главы городского округа по вопросам жилищно-коммунального администрации Анжеро-Судженского городского округа Хамидулина Э.Р.</w:t>
      </w:r>
    </w:p>
    <w:p>
      <w:pPr>
        <w:ind w:firstLine="709"/>
        <w:spacing/>
        <w:jc w:val="both"/>
        <w:hyphenationLines w:val="1"/>
        <w:rPr>
          <w:sz w:val="28"/>
          <w:szCs w:val="28"/>
          <w:lang w:eastAsia="ru-ru"/>
        </w:rPr>
      </w:pPr>
      <w:r>
        <w:rPr>
          <w:noProof/>
        </w:rPr>
        <w:drawing>
          <wp:anchor distT="0" distB="0" distL="0" distR="0" simplePos="0" relativeHeight="251658242" behindDoc="1" locked="0" layoutInCell="0" hidden="0" allowOverlap="1">
            <wp:simplePos x="0" y="0"/>
            <wp:positionH relativeFrom="page">
              <wp:posOffset>3909060</wp:posOffset>
            </wp:positionH>
            <wp:positionV relativeFrom="page">
              <wp:posOffset>7426325</wp:posOffset>
            </wp:positionV>
            <wp:extent cx="1394460" cy="139446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Pechat"/>
                    <pic:cNvPicPr>
                      <a:picLocks noChangeAspect="1"/>
                      <a:extLst>
                        <a:ext uri="sm">
                          <sm:smNativeData xmlns:sm="sm" val="SMDATA_16_Qy2Q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IAAAAAAAAAAAAAAAAAAAAAQAAAAAAAAAMGAAAAQAAAAAAAACvLQAAlAgAAJQIAAAAAAAADBgAAK8t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</w:r>
    </w:p>
    <w:p>
      <w:pPr>
        <w:ind w:firstLine="709"/>
        <w:spacing/>
        <w:jc w:val="both"/>
        <w:hyphenationLines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spacing/>
        <w:jc w:val="both"/>
        <w:tabs defTabSz="708"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tabs defTabSz="708">
          <w:tab w:val="left" w:pos="0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И.о.главы </w:t>
      </w:r>
      <w:r>
        <w:rPr>
          <w:color w:val="000000"/>
          <w:sz w:val="28"/>
          <w:szCs w:val="28"/>
        </w:rPr>
        <w:t>Анжеро-Судженского</w:t>
      </w:r>
      <w:r>
        <w:rPr>
          <w:color w:val="000000"/>
          <w:sz w:val="28"/>
          <w:szCs w:val="28"/>
        </w:rPr>
      </w:r>
    </w:p>
    <w:p>
      <w:pPr>
        <w:spacing/>
        <w:jc w:val="both"/>
        <w:tabs defTabSz="708"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  <w:tab/>
        <w:t xml:space="preserve">                                                                Е.А.Жогаль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tabs defTabSz="708">
          <w:tab w:val="left" w:pos="567" w:leader="none"/>
          <w:tab w:val="left" w:pos="765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tabs defTabSz="708">
          <w:tab w:val="left" w:pos="567" w:leader="none"/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hyphenationLines w:val="1"/>
        <w:tabs defTabSz="708">
          <w:tab w:val="right" w:pos="9921" w:leader="none"/>
        </w:tabs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spacing/>
        <w:jc w:val="center"/>
        <w:hyphenationLines w:val="1"/>
        <w:tabs defTabSz="708">
          <w:tab w:val="right" w:pos="9921" w:leader="none"/>
        </w:tabs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spacing/>
        <w:jc w:val="center"/>
        <w:hyphenationLines w:val="1"/>
        <w:tabs defTabSz="708">
          <w:tab w:val="right" w:pos="9921" w:leader="none"/>
        </w:tabs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spacing/>
        <w:jc w:val="center"/>
        <w:hyphenationLines w:val="1"/>
        <w:tabs defTabSz="708">
          <w:tab w:val="right" w:pos="9921" w:leader="none"/>
        </w:tabs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ind w:left="6237"/>
        <w:spacing/>
        <w:jc w:val="both"/>
        <w:tabs defTabSz="708">
          <w:tab w:val="right" w:pos="9921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6237"/>
        <w:spacing/>
        <w:jc w:val="both"/>
        <w:tabs defTabSz="708">
          <w:tab w:val="right" w:pos="9921" w:leader="none"/>
        </w:tabs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>
      <w:pPr>
        <w:ind w:left="6237"/>
        <w:spacing/>
        <w:jc w:val="both"/>
        <w:tabs defTabSz="708">
          <w:tab w:val="right" w:pos="9921" w:leader="none"/>
        </w:tabs>
        <w:rPr>
          <w:sz w:val="24"/>
          <w:szCs w:val="24"/>
        </w:rPr>
      </w:pPr>
      <w:r>
        <w:rPr>
          <w:sz w:val="24"/>
          <w:szCs w:val="24"/>
        </w:rPr>
        <w:t>к программе проведения оценки обеспечения готовности к отопительному периоду, утвержденной постановлением администрации Анжеро-Судженского городского округа от 04 августа 2025г. № 768</w:t>
      </w:r>
    </w:p>
    <w:p>
      <w:pPr>
        <w:spacing/>
        <w:jc w:val="both"/>
        <w:tabs defTabSz="708">
          <w:tab w:val="right" w:pos="9921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center"/>
        <w:hyphenationLines w:val="1"/>
        <w:tabs defTabSz="708">
          <w:tab w:val="right" w:pos="9921" w:leader="none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График проведения оценки обеспечения готовности к отопительному периоду 2025/2026 гг.</w:t>
      </w:r>
    </w:p>
    <w:p>
      <w:pPr>
        <w:ind w:left="-142"/>
        <w:spacing/>
        <w:jc w:val="both"/>
        <w:keepNext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TableGrid"/>
        <w:name w:val="Таблица2"/>
        <w:tabOrder w:val="0"/>
        <w:jc w:val="left"/>
        <w:tblInd w:w="-431" w:type="dxa"/>
        <w:tblW w:w="10065" w:type="dxa"/>
        <w:pPr>
          <w:ind w:left="-431"/>
        </w:pPr>
        <w:tblLook w:val="04A0" w:firstRow="1" w:lastRow="0" w:firstColumn="1" w:lastColumn="0" w:noHBand="0" w:noVBand="1"/>
      </w:tblPr>
      <w:tblGrid>
        <w:gridCol w:w="823"/>
        <w:gridCol w:w="4251"/>
        <w:gridCol w:w="1873"/>
        <w:gridCol w:w="3118"/>
      </w:tblGrid>
      <w:tr>
        <w:trPr>
          <w:tblHeader w:val="0"/>
          <w:cantSplit w:val="0"/>
          <w:trHeight w:val="0" w:hRule="auto"/>
        </w:trPr>
        <w:tc>
          <w:tcPr>
            <w:tcW w:w="823" w:type="dxa"/>
            <w:vAlign w:val="center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251" w:type="dxa"/>
            <w:vAlign w:val="center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подлежащие проверке</w:t>
            </w:r>
          </w:p>
        </w:tc>
        <w:tc>
          <w:tcPr>
            <w:tcW w:w="1873" w:type="dxa"/>
            <w:vAlign w:val="center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3118" w:type="dxa"/>
            <w:vAlign w:val="center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Документация, проверяемая в ходе проверки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АО «Каскад-эне</w:t>
            </w:r>
            <w:r/>
            <w:bookmarkStart w:id="3" w:name="_GoBack"/>
            <w:r/>
            <w:bookmarkEnd w:id="3"/>
            <w:r/>
            <w:r>
              <w:rPr>
                <w:bCs/>
                <w:sz w:val="28"/>
                <w:szCs w:val="28"/>
              </w:rPr>
              <w:t>рго»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187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01.09.2025</w:t>
            </w:r>
          </w:p>
        </w:tc>
        <w:tc>
          <w:tcPr>
            <w:tcW w:w="3118" w:type="dxa"/>
            <w:tmTcPr id="1754279235" protected="0"/>
          </w:tcPr>
          <w:p>
            <w:pPr>
              <w:spacing/>
              <w:jc w:val="both"/>
            </w:pPr>
            <w:r>
              <w:t>Согласно «</w:t>
            </w:r>
            <w:r>
              <w:rPr>
                <w:color w:val="34343c"/>
              </w:rPr>
              <w:t xml:space="preserve"> Правил обеспечения готовности к отопительному периоду и Порядка проведения оценки обеспечения готовности к отопительному периоду»,</w:t>
            </w:r>
            <w:r>
              <w:t xml:space="preserve"> утвержденных Приказом Министерства энергетики России от 13.11.2024г. №2234</w:t>
            </w:r>
          </w:p>
        </w:tc>
      </w:tr>
      <w:tr>
        <w:trPr>
          <w:tblHeader w:val="0"/>
          <w:cantSplit w:val="0"/>
          <w:trHeight w:val="562" w:hRule="atLeast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ГБУ КО «Анжеро-Судженский психоневрологический интернат»</w:t>
            </w:r>
          </w:p>
        </w:tc>
        <w:tc>
          <w:tcPr>
            <w:tcW w:w="187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01.09.2025</w:t>
            </w:r>
          </w:p>
        </w:tc>
        <w:tc>
          <w:tcPr>
            <w:tcW w:w="3118" w:type="dxa"/>
            <w:vMerge w:val="restart"/>
            <w:tmTcPr id="1754279235" protected="0"/>
          </w:tcPr>
          <w:p>
            <w:pPr>
              <w:spacing/>
              <w:jc w:val="both"/>
            </w:pPr>
            <w:r>
              <w:t>Согласно «</w:t>
            </w:r>
            <w:r>
              <w:rPr>
                <w:color w:val="34343c"/>
              </w:rPr>
              <w:t xml:space="preserve"> Правил обеспечения готовности к отопительному периоду и Порядка проведения оценки обеспечения готовности к отопительному периоду»,</w:t>
            </w:r>
            <w:r>
              <w:t xml:space="preserve"> утвержденных Приказом Министерства энергетики России от 13.11.2024г. №2234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МБУ «Анжеро-Судженский комплексный центр социального обслуживания населения»</w:t>
            </w:r>
          </w:p>
        </w:tc>
        <w:tc>
          <w:tcPr>
            <w:tcW w:w="187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01.09.2025.</w:t>
            </w: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065" w:type="dxa"/>
            <w:gridSpan w:val="4"/>
            <w:tmTcPr id="1754279235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Управление образования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№7</w:t>
            </w:r>
          </w:p>
        </w:tc>
        <w:tc>
          <w:tcPr>
            <w:tcW w:w="1873" w:type="dxa"/>
            <w:vMerge w:val="restart"/>
            <w:vAlign w:val="center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01.09.2025</w:t>
            </w:r>
          </w:p>
        </w:tc>
        <w:tc>
          <w:tcPr>
            <w:tcW w:w="3118" w:type="dxa"/>
            <w:vMerge w:val="restart"/>
            <w:tmTcPr id="1754279235" protected="0"/>
          </w:tcPr>
          <w:p>
            <w:pPr>
              <w:spacing/>
              <w:jc w:val="both"/>
            </w:pPr>
            <w:bookmarkStart w:id="4" w:name="ИО"/>
            <w:r/>
            <w:bookmarkEnd w:id="4"/>
            <w:r>
              <w:t>Согласно «</w:t>
            </w:r>
            <w:r>
              <w:rPr>
                <w:color w:val="34343c"/>
              </w:rPr>
              <w:t xml:space="preserve"> Правил обеспечения готовности к отопительному периоду и Порядка проведения оценки обеспечения готовности к отопительному периоду»,</w:t>
            </w:r>
            <w:r>
              <w:t xml:space="preserve"> утвержденных Приказом Министерства энергетики России от 13.11.2024г. №2234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Школа-интернат №37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№2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№8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№12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№28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№31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065" w:type="dxa"/>
            <w:gridSpan w:val="4"/>
            <w:tmTcPr id="1754279235" protected="0"/>
          </w:tcPr>
          <w:p>
            <w:pPr>
              <w:spacing/>
              <w:jc w:val="center"/>
            </w:pPr>
            <w:r>
              <w:rPr>
                <w:b/>
              </w:rPr>
              <w:t>ООО «Мир тепла»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Блочно-модульная котельная, ул.Водоканальная, 7А</w:t>
            </w:r>
          </w:p>
        </w:tc>
        <w:tc>
          <w:tcPr>
            <w:tcW w:w="1873" w:type="dxa"/>
            <w:vMerge w:val="restart"/>
            <w:vAlign w:val="center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01.09.2025</w:t>
            </w:r>
          </w:p>
        </w:tc>
        <w:tc>
          <w:tcPr>
            <w:tcW w:w="3118" w:type="dxa"/>
            <w:vMerge w:val="restart"/>
            <w:tmTcPr id="1754279235" protected="0"/>
          </w:tcPr>
          <w:p>
            <w:pPr>
              <w:spacing/>
              <w:jc w:val="both"/>
            </w:pPr>
            <w:r>
              <w:t>Согласно «</w:t>
            </w:r>
            <w:r>
              <w:rPr>
                <w:color w:val="34343c"/>
              </w:rPr>
              <w:t xml:space="preserve"> Правил обеспечения готовности к отопительному периоду и Порядка проведения оценки обеспечения готовности к отопительному периоду»,</w:t>
            </w:r>
            <w:r>
              <w:t xml:space="preserve"> утвержденных Приказом Министерства энергетики России от 13.11.2024г. №2234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Блочно-модульная котельная, ул.Водоканальная, 27А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б</w:t>
            </w:r>
            <w:r>
              <w:rPr>
                <w:bCs/>
                <w:sz w:val="28"/>
                <w:szCs w:val="28"/>
              </w:rPr>
              <w:t>лочно</w:t>
            </w:r>
            <w:r>
              <w:rPr>
                <w:bCs/>
                <w:sz w:val="28"/>
                <w:szCs w:val="28"/>
              </w:rPr>
              <w:t xml:space="preserve">-модульной котельной, </w:t>
            </w:r>
            <w:r>
              <w:rPr>
                <w:bCs/>
                <w:sz w:val="28"/>
                <w:szCs w:val="28"/>
              </w:rPr>
              <w:t>ул.Водоканальная</w:t>
            </w:r>
            <w:r>
              <w:rPr>
                <w:bCs/>
                <w:sz w:val="28"/>
                <w:szCs w:val="28"/>
              </w:rPr>
              <w:t>, 7А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б</w:t>
            </w:r>
            <w:r>
              <w:rPr>
                <w:bCs/>
                <w:sz w:val="28"/>
                <w:szCs w:val="28"/>
              </w:rPr>
              <w:t>лочно</w:t>
            </w:r>
            <w:r>
              <w:rPr>
                <w:bCs/>
                <w:sz w:val="28"/>
                <w:szCs w:val="28"/>
              </w:rPr>
              <w:t xml:space="preserve">-модульной котельной, </w:t>
            </w:r>
            <w:r>
              <w:rPr>
                <w:bCs/>
                <w:sz w:val="28"/>
                <w:szCs w:val="28"/>
              </w:rPr>
              <w:t>ул.Водоканальная</w:t>
            </w:r>
            <w:r>
              <w:rPr>
                <w:bCs/>
                <w:sz w:val="28"/>
                <w:szCs w:val="28"/>
              </w:rPr>
              <w:t>, 27А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10065" w:type="dxa"/>
            <w:gridSpan w:val="4"/>
            <w:tmTcPr id="1754279235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ООО «ТеплоРесурс»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№1</w:t>
            </w:r>
          </w:p>
        </w:tc>
        <w:tc>
          <w:tcPr>
            <w:tcW w:w="1873" w:type="dxa"/>
            <w:vMerge w:val="restart"/>
            <w:vAlign w:val="center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01.09.2025</w:t>
            </w:r>
          </w:p>
        </w:tc>
        <w:tc>
          <w:tcPr>
            <w:tcW w:w="3118" w:type="dxa"/>
            <w:vMerge w:val="restart"/>
            <w:tmTcPr id="1754279235" protected="0"/>
          </w:tcPr>
          <w:p>
            <w:pPr>
              <w:spacing/>
              <w:jc w:val="both"/>
            </w:pPr>
            <w:r>
              <w:t>Согласно «</w:t>
            </w:r>
            <w:r>
              <w:rPr>
                <w:color w:val="34343c"/>
              </w:rPr>
              <w:t xml:space="preserve"> Правил обеспечения готовности к отопительному периоду и Порядка проведения оценки обеспечения готовности к отопительному периоду»,</w:t>
            </w:r>
            <w:r>
              <w:t xml:space="preserve"> утвержденных Приказом Министерства энергетики России от 13.11.2024г. №2234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№3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№4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№5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№6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№7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№8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№9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№10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№14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№15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№16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№18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№19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№20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№23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№24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№25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№26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№27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№29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232" w:hRule="atLeast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№30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№1</w:t>
            </w:r>
          </w:p>
        </w:tc>
        <w:tc>
          <w:tcPr>
            <w:tcW w:w="1873" w:type="dxa"/>
            <w:vMerge w:val="restart"/>
            <w:vAlign w:val="center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01.09.2025</w:t>
            </w:r>
          </w:p>
        </w:tc>
        <w:tc>
          <w:tcPr>
            <w:tcW w:w="3118" w:type="dxa"/>
            <w:vMerge w:val="restart"/>
            <w:tmTcPr id="1754279235" protected="0"/>
          </w:tcPr>
          <w:p>
            <w:pPr>
              <w:spacing/>
              <w:jc w:val="both"/>
            </w:pPr>
            <w:r>
              <w:t>Согласно «</w:t>
            </w:r>
            <w:r>
              <w:rPr>
                <w:color w:val="34343c"/>
              </w:rPr>
              <w:t xml:space="preserve"> Правил обеспечения готовности к отопительному периоду и Порядка проведения оценки обеспечения готовности к отопительному периоду»,</w:t>
            </w:r>
            <w:r>
              <w:t xml:space="preserve"> утвержденных Приказом Министерства энергетики России от 13.11.2024г. №2234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№3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№4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№5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№6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№7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№8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№9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№10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№14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№15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№16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№18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№19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№20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№23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№24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№25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№26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№27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№29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297" w:hRule="atLeast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сети от котельной №30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«Новая сетевая компания» (теплосети от АО «Каскад-энерго»)</w:t>
            </w:r>
          </w:p>
        </w:tc>
        <w:tc>
          <w:tcPr>
            <w:tcW w:w="187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01.09.2025</w:t>
            </w:r>
          </w:p>
        </w:tc>
        <w:tc>
          <w:tcPr>
            <w:tcW w:w="3118" w:type="dxa"/>
            <w:tmTcPr id="1754279235" protected="0"/>
          </w:tcPr>
          <w:p>
            <w:pPr>
              <w:spacing/>
              <w:jc w:val="both"/>
            </w:pPr>
            <w:r>
              <w:t>Согласно «</w:t>
            </w:r>
            <w:r>
              <w:rPr>
                <w:color w:val="34343c"/>
              </w:rPr>
              <w:t xml:space="preserve"> Правил обеспечения готовности к отопительному периоду и Порядка проведения оценки обеспечения готовности к отопительному периоду»,</w:t>
            </w:r>
            <w:r>
              <w:t xml:space="preserve"> утвержденных Приказом Министерства энергетики России от 13.11.2024г. №2234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65" w:type="dxa"/>
            <w:gridSpan w:val="4"/>
            <w:tmTcPr id="1754279235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Жилой фонд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«УК Приоритет»</w:t>
            </w:r>
          </w:p>
        </w:tc>
        <w:tc>
          <w:tcPr>
            <w:tcW w:w="1873" w:type="dxa"/>
            <w:vMerge w:val="restart"/>
            <w:vAlign w:val="center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01.09.2025</w:t>
            </w:r>
          </w:p>
        </w:tc>
        <w:tc>
          <w:tcPr>
            <w:tcW w:w="3118" w:type="dxa"/>
            <w:vMerge w:val="restart"/>
            <w:tmTcPr id="1754279235" protected="0"/>
          </w:tcPr>
          <w:p>
            <w:pPr>
              <w:spacing/>
              <w:jc w:val="both"/>
            </w:pPr>
            <w:r>
              <w:t>Согласно «</w:t>
            </w:r>
            <w:r>
              <w:rPr>
                <w:color w:val="34343c"/>
              </w:rPr>
              <w:t xml:space="preserve"> Правил обеспечения готовности к отопительному периоду и Порядка проведения оценки обеспечения готовности к отопительному периоду»,</w:t>
            </w:r>
            <w:r>
              <w:t xml:space="preserve"> утвержденных Приказом Министерства энергетики России от 13.11.2024г. №2234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tabs defTabSz="708">
                <w:tab w:val="right" w:pos="992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 «Диалог-АС»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«УК Сервис дом»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«Управляющая компания Анжерская»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264" w:hRule="atLeast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«УКА»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«УК Аркада»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«УК Крокус»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«Лидер УК»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«Велес»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«Парус»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ТСН Восток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ТСЖ Сибирь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ТСЖ Домовой</w:t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823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1" w:type="dxa"/>
            <w:tmTcPr id="175427923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73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vMerge/>
            <w:tmTcPr id="1754279235" protected="0"/>
          </w:tcPr>
          <w:p>
            <w:pPr>
              <w:widowControl w:val="0"/>
              <w:rPr>
                <w:rFonts w:ascii="Tahoma" w:hAnsi="Tahoma" w:eastAsia="Tahoma" w:cs="Tahoma"/>
                <w:sz w:val="24"/>
                <w:szCs w:val="24"/>
                <w:lang w:val="en-us" w:bidi="en-us"/>
              </w:rPr>
            </w:pPr>
          </w:p>
        </w:tc>
      </w:tr>
    </w:tbl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 defTabSz="708">
          <w:tab w:val="right" w:pos="9921" w:leader="none"/>
        </w:tabs>
      </w:pPr>
      <w:r/>
    </w:p>
    <w:p>
      <w:pPr>
        <w:spacing/>
        <w:jc w:val="right"/>
        <w:tabs defTabSz="708">
          <w:tab w:val="left" w:pos="567" w:leader="none"/>
          <w:tab w:val="left" w:pos="7655" w:leader="none"/>
        </w:tabs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footerReference w:type="default" r:id="rId10"/>
      <w:type w:val="nextPage"/>
      <w:pgSz w:h="16838" w:w="11906"/>
      <w:pgMar w:left="1701" w:top="567" w:right="851" w:bottom="1134" w:header="0"/>
      <w:paperSrc w:first="0" w:other="0" a="0" b="0"/>
      <w:pgNumType w:fmt="decimal"/>
      <w:tmGutter w:val="3"/>
      <w:mirrorMargins w:val="0"/>
      <w:tmSection w:h="-2">
        <w:tmFooter w:id="0" w:h="0" edge="72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charset w:val="02"/>
    <w:family w:val="roman"/>
    <w:pitch w:val="default"/>
  </w:font>
  <w:font w:name="Times New Roman">
    <w:charset w:val="00"/>
    <w:family w:val="roman"/>
    <w:pitch w:val="default"/>
  </w:font>
  <w:font w:name="Courier New">
    <w:charset w:val="00"/>
    <w:family w:val="modern"/>
    <w:pitch w:val="default"/>
  </w:font>
  <w:font w:name="Wingdings">
    <w:charset w:val="02"/>
    <w:family w:val="auto"/>
    <w:pitch w:val="default"/>
  </w:font>
  <w:font w:name="PT Astra Serif">
    <w:charset w:val="00"/>
    <w:family w:val="roman"/>
    <w:pitch w:val="default"/>
  </w:font>
  <w:font w:name="Tahoma">
    <w:charset w:val="00"/>
    <w:family w:val="swiss"/>
    <w:pitch w:val="default"/>
  </w:font>
  <w:font w:name="Noto Sans Devanagari">
    <w:charset w:val="00"/>
    <w:family w:val="swiss"/>
    <w:pitch w:val="default"/>
  </w:font>
  <w:font w:name="Verdana">
    <w:charset w:val="00"/>
    <w:family w:val="swiss"/>
    <w:pitch w:val="default"/>
  </w:font>
  <w:font w:name="Segoe UI">
    <w:charset w:val="00"/>
    <w:family w:val="swiss"/>
    <w:pitch w:val="default"/>
  </w:font>
  <w:font w:name="Calibri">
    <w:charset w:val="00"/>
    <w:family w:val="swiss"/>
    <w:pitch w:val="default"/>
  </w:font>
  <w:font w:name="Arial Narrow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06"/>
      <w:spacing/>
      <w:jc w:val="center"/>
    </w:pPr>
    <w:r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none"/>
      <w:pStyle w:val="para1"/>
      <w:suff w:val="nothing"/>
      <w:lvlText w:val=""/>
      <w:lvlJc w:val="left"/>
      <w:pPr>
        <w:ind w:left="0" w:hanging="0"/>
      </w:pPr>
    </w:lvl>
    <w:lvl w:ilvl="1">
      <w:start w:val="1"/>
      <w:numFmt w:val="none"/>
      <w:pStyle w:val="para2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multiLevelType w:val="singleLevel"/>
    <w:name w:val="WW8Num6"/>
    <w:lvl w:ilvl="0">
      <w:numFmt w:val="bullet"/>
      <w:suff w:val="tab"/>
      <w:lvlText w:val="·"/>
      <w:lvlJc w:val="left"/>
      <w:pPr>
        <w:ind w:left="994" w:hanging="0"/>
      </w:pPr>
      <w:rPr>
        <w:rFonts w:ascii="Symbol" w:hAnsi="Symbol" w:cs="Symbol"/>
      </w:rPr>
    </w:lvl>
  </w:abstractNum>
  <w:abstractNum w:abstractNumId="3">
    <w:multiLevelType w:val="hybridMultilevel"/>
    <w:name w:val="WW8Num7"/>
    <w:lvl w:ilvl="0">
      <w:start w:val="1"/>
      <w:numFmt w:val="decimal"/>
      <w:suff w:val="tab"/>
      <w:lvlText w:val="%1."/>
      <w:lvlJc w:val="left"/>
      <w:pPr>
        <w:ind w:left="0" w:hanging="0"/>
      </w:pPr>
      <w:rPr>
        <w:sz w:val="28"/>
      </w:rPr>
    </w:lvl>
    <w:lvl w:ilvl="1">
      <w:start w:val="1"/>
      <w:numFmt w:val="decimal"/>
      <w:suff w:val="tab"/>
      <w:lvlText w:val="%1.%2."/>
      <w:lvlJc w:val="left"/>
      <w:pPr>
        <w:ind w:left="425" w:hanging="0"/>
      </w:pPr>
      <w:rPr>
        <w:sz w:val="28"/>
      </w:rPr>
    </w:lvl>
    <w:lvl w:ilvl="2">
      <w:start w:val="1"/>
      <w:numFmt w:val="decimal"/>
      <w:suff w:val="tab"/>
      <w:lvlText w:val="%1.%2.%3."/>
      <w:lvlJc w:val="left"/>
      <w:pPr>
        <w:ind w:left="1134" w:hanging="0"/>
      </w:pPr>
      <w:rPr>
        <w:sz w:val="28"/>
      </w:rPr>
    </w:lvl>
    <w:lvl w:ilvl="3">
      <w:start w:val="1"/>
      <w:numFmt w:val="decimal"/>
      <w:suff w:val="tab"/>
      <w:lvlText w:val="%1.%2.%3.%4."/>
      <w:lvlJc w:val="left"/>
      <w:pPr>
        <w:ind w:left="1701" w:hanging="0"/>
      </w:pPr>
      <w:rPr>
        <w:sz w:val="28"/>
      </w:rPr>
    </w:lvl>
    <w:lvl w:ilvl="4">
      <w:start w:val="1"/>
      <w:numFmt w:val="decimal"/>
      <w:suff w:val="tab"/>
      <w:lvlText w:val="%1.%2.%3.%4.%5."/>
      <w:lvlJc w:val="left"/>
      <w:pPr>
        <w:ind w:left="2268" w:hanging="0"/>
      </w:pPr>
      <w:rPr>
        <w:sz w:val="28"/>
      </w:rPr>
    </w:lvl>
    <w:lvl w:ilvl="5">
      <w:start w:val="1"/>
      <w:numFmt w:val="decimal"/>
      <w:suff w:val="tab"/>
      <w:lvlText w:val="%1.%2.%3.%4.%5.%6."/>
      <w:lvlJc w:val="left"/>
      <w:pPr>
        <w:ind w:left="2835" w:hanging="0"/>
      </w:pPr>
      <w:rPr>
        <w:sz w:val="28"/>
      </w:rPr>
    </w:lvl>
    <w:lvl w:ilvl="6">
      <w:start w:val="1"/>
      <w:numFmt w:val="decimal"/>
      <w:suff w:val="tab"/>
      <w:lvlText w:val="%1.%2.%3.%4.%5.%6.%7."/>
      <w:lvlJc w:val="left"/>
      <w:pPr>
        <w:ind w:left="3402" w:hanging="0"/>
      </w:pPr>
      <w:rPr>
        <w:sz w:val="28"/>
      </w:rPr>
    </w:lvl>
    <w:lvl w:ilvl="7">
      <w:start w:val="1"/>
      <w:numFmt w:val="decimal"/>
      <w:suff w:val="tab"/>
      <w:lvlText w:val="%1.%2.%3.%4.%5.%6.%7.%8."/>
      <w:lvlJc w:val="left"/>
      <w:pPr>
        <w:ind w:left="3969" w:hanging="0"/>
      </w:pPr>
      <w:rPr>
        <w:sz w:val="28"/>
      </w:rPr>
    </w:lvl>
    <w:lvl w:ilvl="8">
      <w:start w:val="1"/>
      <w:numFmt w:val="decimal"/>
      <w:suff w:val="tab"/>
      <w:lvlText w:val="%1.%2.%3.%4.%5.%6.%7.%8.%9."/>
      <w:lvlJc w:val="left"/>
      <w:pPr>
        <w:ind w:left="4536" w:hanging="0"/>
      </w:pPr>
      <w:rPr>
        <w:sz w:val="28"/>
      </w:rPr>
    </w:lvl>
  </w:abstractNum>
  <w:abstractNum w:abstractNumId="4">
    <w:multiLevelType w:val="hybridMultilevel"/>
    <w:name w:val="WW8Num20"/>
    <w:lvl w:ilvl="0">
      <w:start w:val="4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5">
    <w:multiLevelType w:val="hybridMultilevel"/>
    <w:name w:val="Нумерованный список 2"/>
    <w:lvl w:ilvl="0">
      <w:numFmt w:val="bullet"/>
      <w:suff w:val="tab"/>
      <w:lvlText w:val="-"/>
      <w:lvlJc w:val="left"/>
      <w:pPr>
        <w:ind w:left="927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647" w:hanging="0"/>
      </w:pPr>
      <w:rPr>
        <w:rFonts w:ascii="Courier New" w:hAnsi="Courier New"/>
      </w:rPr>
    </w:lvl>
    <w:lvl w:ilvl="2">
      <w:numFmt w:val="bullet"/>
      <w:suff w:val="tab"/>
      <w:lvlText w:val=""/>
      <w:lvlJc w:val="left"/>
      <w:pPr>
        <w:ind w:left="2367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3087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807" w:hanging="0"/>
      </w:pPr>
      <w:rPr>
        <w:rFonts w:ascii="Courier New" w:hAnsi="Courier New"/>
      </w:rPr>
    </w:lvl>
    <w:lvl w:ilvl="5">
      <w:numFmt w:val="bullet"/>
      <w:suff w:val="tab"/>
      <w:lvlText w:val=""/>
      <w:lvlJc w:val="left"/>
      <w:pPr>
        <w:ind w:left="4527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5247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967" w:hanging="0"/>
      </w:pPr>
      <w:rPr>
        <w:rFonts w:ascii="Courier New" w:hAnsi="Courier New"/>
      </w:rPr>
    </w:lvl>
    <w:lvl w:ilvl="8">
      <w:numFmt w:val="bullet"/>
      <w:suff w:val="tab"/>
      <w:lvlText w:val=""/>
      <w:lvlJc w:val="left"/>
      <w:pPr>
        <w:ind w:left="6687" w:hanging="0"/>
      </w:pPr>
      <w:rPr>
        <w:rFonts w:ascii="Wingdings" w:hAnsi="Wingdings" w:eastAsia="Wingdings" w:cs="Wingdings"/>
      </w:rPr>
    </w:lvl>
  </w:abstractNum>
  <w:abstractNum w:abstractNumId="6">
    <w:multiLevelType w:val="hybridMultilevel"/>
    <w:name w:val="Нумерованный список 3"/>
    <w:lvl w:ilvl="0">
      <w:start w:val="2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7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360" w:hanging="0"/>
      </w:pPr>
    </w:lvl>
    <w:lvl w:ilvl="2">
      <w:start w:val="1"/>
      <w:numFmt w:val="decimal"/>
      <w:suff w:val="tab"/>
      <w:lvlText w:val="%1.%2.%3."/>
      <w:lvlJc w:val="left"/>
      <w:pPr>
        <w:ind w:left="720" w:hanging="0"/>
      </w:pPr>
    </w:lvl>
    <w:lvl w:ilvl="3">
      <w:start w:val="1"/>
      <w:numFmt w:val="decimal"/>
      <w:suff w:val="tab"/>
      <w:lvlText w:val="%1.%2.%3.%4."/>
      <w:lvlJc w:val="left"/>
      <w:pPr>
        <w:ind w:left="1080" w:hanging="0"/>
      </w:pPr>
    </w:lvl>
    <w:lvl w:ilvl="4">
      <w:start w:val="1"/>
      <w:numFmt w:val="decimal"/>
      <w:suff w:val="tab"/>
      <w:lvlText w:val="%1.%2.%3.%4.%5."/>
      <w:lvlJc w:val="left"/>
      <w:pPr>
        <w:ind w:left="1440" w:hanging="0"/>
      </w:pPr>
    </w:lvl>
    <w:lvl w:ilvl="5">
      <w:start w:val="1"/>
      <w:numFmt w:val="decimal"/>
      <w:suff w:val="tab"/>
      <w:lvlText w:val="%1.%2.%3.%4.%5.%6."/>
      <w:lvlJc w:val="left"/>
      <w:pPr>
        <w:ind w:left="1800" w:hanging="0"/>
      </w:pPr>
    </w:lvl>
    <w:lvl w:ilvl="6">
      <w:start w:val="1"/>
      <w:numFmt w:val="decimal"/>
      <w:suff w:val="tab"/>
      <w:lvlText w:val="%1.%2.%3.%4.%5.%6.%7."/>
      <w:lvlJc w:val="left"/>
      <w:pPr>
        <w:ind w:left="2160" w:hanging="0"/>
      </w:pPr>
    </w:lvl>
    <w:lvl w:ilvl="7">
      <w:start w:val="1"/>
      <w:numFmt w:val="decimal"/>
      <w:suff w:val="tab"/>
      <w:lvlText w:val="%1.%2.%3.%4.%5.%6.%7.%8."/>
      <w:lvlJc w:val="left"/>
      <w:pPr>
        <w:ind w:left="252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2880" w:hanging="0"/>
      </w:pPr>
    </w:lvl>
  </w:abstractNum>
  <w:abstractNum w:abstractNumId="8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righ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righ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right"/>
      <w:pPr>
        <w:ind w:left="6649" w:hanging="0"/>
      </w:pPr>
    </w:lvl>
  </w:abstractNum>
  <w:abstractNum w:abstractNumId="9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708" w:hanging="0"/>
      </w:pPr>
    </w:lvl>
    <w:lvl w:ilvl="1">
      <w:start w:val="1"/>
      <w:numFmt w:val="lowerLetter"/>
      <w:suff w:val="tab"/>
      <w:lvlText w:val="%2."/>
      <w:lvlJc w:val="left"/>
      <w:pPr>
        <w:ind w:left="1428" w:hanging="0"/>
      </w:pPr>
    </w:lvl>
    <w:lvl w:ilvl="2">
      <w:start w:val="1"/>
      <w:numFmt w:val="lowerRoman"/>
      <w:suff w:val="tab"/>
      <w:lvlText w:val="%3."/>
      <w:lvlJc w:val="right"/>
      <w:pPr>
        <w:ind w:left="2328" w:hanging="0"/>
      </w:pPr>
    </w:lvl>
    <w:lvl w:ilvl="3">
      <w:start w:val="1"/>
      <w:numFmt w:val="decimal"/>
      <w:suff w:val="tab"/>
      <w:lvlText w:val="%4."/>
      <w:lvlJc w:val="left"/>
      <w:pPr>
        <w:ind w:left="2868" w:hanging="0"/>
      </w:pPr>
    </w:lvl>
    <w:lvl w:ilvl="4">
      <w:start w:val="1"/>
      <w:numFmt w:val="lowerLetter"/>
      <w:suff w:val="tab"/>
      <w:lvlText w:val="%5."/>
      <w:lvlJc w:val="left"/>
      <w:pPr>
        <w:ind w:left="3588" w:hanging="0"/>
      </w:pPr>
    </w:lvl>
    <w:lvl w:ilvl="5">
      <w:start w:val="1"/>
      <w:numFmt w:val="lowerRoman"/>
      <w:suff w:val="tab"/>
      <w:lvlText w:val="%6."/>
      <w:lvlJc w:val="right"/>
      <w:pPr>
        <w:ind w:left="4488" w:hanging="0"/>
      </w:pPr>
    </w:lvl>
    <w:lvl w:ilvl="6">
      <w:start w:val="1"/>
      <w:numFmt w:val="decimal"/>
      <w:suff w:val="tab"/>
      <w:lvlText w:val="%7."/>
      <w:lvlJc w:val="left"/>
      <w:pPr>
        <w:ind w:left="5028" w:hanging="0"/>
      </w:pPr>
    </w:lvl>
    <w:lvl w:ilvl="7">
      <w:start w:val="1"/>
      <w:numFmt w:val="lowerLetter"/>
      <w:suff w:val="tab"/>
      <w:lvlText w:val="%8."/>
      <w:lvlJc w:val="left"/>
      <w:pPr>
        <w:ind w:left="5748" w:hanging="0"/>
      </w:pPr>
    </w:lvl>
    <w:lvl w:ilvl="8">
      <w:start w:val="1"/>
      <w:numFmt w:val="lowerRoman"/>
      <w:suff w:val="tab"/>
      <w:lvlText w:val="%9."/>
      <w:lvlJc w:val="right"/>
      <w:pPr>
        <w:ind w:left="6648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9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23"/>
      <w:tmLastPosIdx w:val="180"/>
    </w:tmLastPosCaret>
    <w:tmLastPosAnchor>
      <w:tmLastPosPgfIdx w:val="0"/>
      <w:tmLastPosIdx w:val="0"/>
    </w:tmLastPosAnchor>
    <w:tmLastPosTblRect w:left="0" w:top="0" w:right="0" w:bottom="0"/>
  </w:tmLastPos>
  <w:tmAppRevision w:date="1754279235" w:val="1222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lang w:eastAsia="zh-cn"/>
    </w:rPr>
  </w:style>
  <w:style w:type="paragraph" w:styleId="para1">
    <w:name w:val="heading 1"/>
    <w:qFormat/>
    <w:basedOn w:val="para0"/>
    <w:next w:val="para0"/>
    <w:pPr>
      <w:numPr>
        <w:ilvl w:val="0"/>
        <w:numId w:val="1"/>
      </w:numPr>
      <w:ind w:left="0" w:firstLine="0"/>
      <w:spacing/>
      <w:jc w:val="center"/>
      <w:keepNext/>
      <w:outlineLvl w:val="0"/>
    </w:pPr>
    <w:rPr>
      <w:b/>
      <w:sz w:val="28"/>
    </w:rPr>
  </w:style>
  <w:style w:type="paragraph" w:styleId="para2">
    <w:name w:val="heading 2"/>
    <w:qFormat/>
    <w:basedOn w:val="para0"/>
    <w:next w:val="para0"/>
    <w:pPr>
      <w:numPr>
        <w:ilvl w:val="1"/>
        <w:numId w:val="1"/>
      </w:numPr>
      <w:ind w:left="0" w:firstLine="0"/>
      <w:spacing/>
      <w:jc w:val="center"/>
      <w:keepNext/>
      <w:outlineLvl w:val="1"/>
    </w:pPr>
    <w:rPr>
      <w:b/>
      <w:spacing w:val="40" w:percent="117"/>
      <w:sz w:val="48"/>
    </w:rPr>
  </w:style>
  <w:style w:type="paragraph" w:styleId="para3" w:customStyle="1">
    <w:name w:val="Заголовок1"/>
    <w:qFormat/>
    <w:basedOn w:val="para0"/>
    <w:next w:val="para4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4">
    <w:name w:val="Body Text"/>
    <w:qFormat/>
    <w:basedOn w:val="para0"/>
    <w:pPr>
      <w:spacing w:after="140" w:line="276" w:lineRule="auto"/>
    </w:pPr>
  </w:style>
  <w:style w:type="paragraph" w:styleId="para5">
    <w:name w:val="List"/>
    <w:qFormat/>
    <w:basedOn w:val="para4"/>
    <w:rPr>
      <w:rFonts w:ascii="PT Astra Serif" w:hAnsi="PT Astra Serif" w:cs="Noto Sans Devanagari"/>
    </w:rPr>
  </w:style>
  <w:style w:type="paragraph" w:styleId="para6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7" w:customStyle="1">
    <w:name w:val="Указатель1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8" w:customStyle="1">
    <w:name w:val="Caption1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9" w:customStyle="1">
    <w:name w:val="Caption11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10" w:customStyle="1">
    <w:name w:val="juscontextcxspmiddle"/>
    <w:qFormat/>
    <w:basedOn w:val="para0"/>
    <w:pPr>
      <w:spacing w:before="280" w:after="280"/>
    </w:pPr>
    <w:rPr>
      <w:sz w:val="24"/>
      <w:szCs w:val="24"/>
    </w:rPr>
  </w:style>
  <w:style w:type="paragraph" w:styleId="para11" w:customStyle="1">
    <w:name w:val="Знак Знак Знак Знак"/>
    <w:qFormat/>
    <w:basedOn w:val="para0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para12" w:customStyle="1">
    <w:name w:val="Char Char"/>
    <w:qFormat/>
    <w:basedOn w:val="para0"/>
    <w:pPr>
      <w:spacing w:after="160" w:line="240" w:lineRule="exact"/>
    </w:pPr>
    <w:rPr>
      <w:rFonts w:ascii="Verdana" w:hAnsi="Verdana" w:cs="Verdana"/>
      <w:lang w:val="en-us"/>
    </w:rPr>
  </w:style>
  <w:style w:type="paragraph" w:styleId="para13" w:customStyle="1">
    <w:name w:val="xl6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4" w:customStyle="1">
    <w:name w:val="xl70"/>
    <w:qFormat/>
    <w:basedOn w:val="para0"/>
    <w:pPr>
      <w:spacing w:before="280" w:after="280"/>
    </w:pPr>
    <w:rPr>
      <w:sz w:val="24"/>
      <w:szCs w:val="24"/>
    </w:rPr>
  </w:style>
  <w:style w:type="paragraph" w:styleId="para15" w:customStyle="1">
    <w:name w:val="xl7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6" w:customStyle="1">
    <w:name w:val="xl72"/>
    <w:qFormat/>
    <w:basedOn w:val="para0"/>
    <w:pPr>
      <w:spacing w:before="280" w:after="280"/>
    </w:pPr>
    <w:rPr>
      <w:sz w:val="24"/>
      <w:szCs w:val="24"/>
    </w:rPr>
  </w:style>
  <w:style w:type="paragraph" w:styleId="para17" w:customStyle="1">
    <w:name w:val="xl73"/>
    <w:qFormat/>
    <w:basedOn w:val="para0"/>
    <w:pPr>
      <w:spacing w:before="280" w:after="280"/>
      <w:jc w:val="center"/>
    </w:pPr>
    <w:rPr>
      <w:sz w:val="24"/>
      <w:szCs w:val="24"/>
    </w:rPr>
  </w:style>
  <w:style w:type="paragraph" w:styleId="para18" w:customStyle="1">
    <w:name w:val="xl74"/>
    <w:qFormat/>
    <w:basedOn w:val="para0"/>
    <w:pPr>
      <w:spacing w:before="280" w:after="280"/>
      <w:jc w:val="center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z w:val="24"/>
      <w:szCs w:val="24"/>
    </w:rPr>
  </w:style>
  <w:style w:type="paragraph" w:styleId="para19" w:customStyle="1">
    <w:name w:val="xl75"/>
    <w:qFormat/>
    <w:basedOn w:val="para0"/>
    <w:pPr>
      <w:spacing w:before="280" w:after="280"/>
    </w:pPr>
  </w:style>
  <w:style w:type="paragraph" w:styleId="para20" w:customStyle="1">
    <w:name w:val="xl7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21" w:customStyle="1">
    <w:name w:val="xl77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22" w:customStyle="1">
    <w:name w:val="xl7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23" w:customStyle="1">
    <w:name w:val="xl7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8"/>
      <w:szCs w:val="28"/>
    </w:rPr>
  </w:style>
  <w:style w:type="paragraph" w:styleId="para24" w:customStyle="1">
    <w:name w:val="xl80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25" w:customStyle="1">
    <w:name w:val="xl81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26" w:customStyle="1">
    <w:name w:val="xl8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27" w:customStyle="1">
    <w:name w:val="xl83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28" w:customStyle="1">
    <w:name w:val="xl8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29" w:customStyle="1">
    <w:name w:val="xl85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0" w:customStyle="1">
    <w:name w:val="xl8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1" w:customStyle="1">
    <w:name w:val="xl87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2" w:customStyle="1">
    <w:name w:val="xl8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3" w:customStyle="1">
    <w:name w:val="xl8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34" w:customStyle="1">
    <w:name w:val="xl90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35" w:customStyle="1">
    <w:name w:val="xl9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6" w:customStyle="1">
    <w:name w:val="xl9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7" w:customStyle="1">
    <w:name w:val="xl93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8" w:customStyle="1">
    <w:name w:val="xl9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39" w:customStyle="1">
    <w:name w:val="xl95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40" w:customStyle="1">
    <w:name w:val="xl9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41" w:customStyle="1">
    <w:name w:val="xl97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000000"/>
      <w:sz w:val="24"/>
      <w:szCs w:val="24"/>
    </w:rPr>
  </w:style>
  <w:style w:type="paragraph" w:styleId="para42" w:customStyle="1">
    <w:name w:val="xl98"/>
    <w:qFormat/>
    <w:basedOn w:val="para0"/>
    <w:pPr>
      <w:spacing w:before="280" w:after="280"/>
      <w:jc w:val="center"/>
      <w:pBdr>
        <w:top w:val="nil" w:sz="0" w:space="0" w:color="000000" tmln="2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000000"/>
      <w:sz w:val="24"/>
      <w:szCs w:val="24"/>
    </w:rPr>
  </w:style>
  <w:style w:type="paragraph" w:styleId="para43" w:customStyle="1">
    <w:name w:val="xl9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0" w:color="000000" tmln="2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4" w:customStyle="1">
    <w:name w:val="xl100"/>
    <w:qFormat/>
    <w:basedOn w:val="para0"/>
    <w:pPr>
      <w:spacing w:before="280" w:after="280"/>
      <w:jc w:val="center"/>
      <w:pBdr>
        <w:top w:val="nil" w:sz="0" w:space="0" w:color="000000" tmln="2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5" w:customStyle="1">
    <w:name w:val="xl10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6" w:customStyle="1">
    <w:name w:val="xl102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7" w:customStyle="1">
    <w:name w:val="xl103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8" w:customStyle="1">
    <w:name w:val="xl10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49" w:customStyle="1">
    <w:name w:val="xl105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50" w:customStyle="1">
    <w:name w:val="xl10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51" w:customStyle="1">
    <w:name w:val="xl107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52" w:customStyle="1">
    <w:name w:val="xl10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0" w:color="000000" tmln="2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000000"/>
      <w:sz w:val="24"/>
      <w:szCs w:val="24"/>
    </w:rPr>
  </w:style>
  <w:style w:type="paragraph" w:styleId="para53" w:customStyle="1">
    <w:name w:val="xl109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color w:val="000000"/>
      <w:sz w:val="24"/>
      <w:szCs w:val="24"/>
    </w:rPr>
  </w:style>
  <w:style w:type="paragraph" w:styleId="para54" w:customStyle="1">
    <w:name w:val="xl110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4"/>
      <w:szCs w:val="24"/>
    </w:rPr>
  </w:style>
  <w:style w:type="paragraph" w:styleId="para55" w:customStyle="1">
    <w:name w:val="xl111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000000"/>
      <w:sz w:val="24"/>
      <w:szCs w:val="24"/>
    </w:rPr>
  </w:style>
  <w:style w:type="paragraph" w:styleId="para56" w:customStyle="1">
    <w:name w:val="xl112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4"/>
      <w:szCs w:val="24"/>
    </w:rPr>
  </w:style>
  <w:style w:type="paragraph" w:styleId="para57" w:customStyle="1">
    <w:name w:val="xl113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2CC" tmshd="1677721856, 0, 13431551"/>
    </w:pPr>
    <w:rPr>
      <w:color w:val="000000"/>
      <w:sz w:val="24"/>
      <w:szCs w:val="24"/>
    </w:rPr>
  </w:style>
  <w:style w:type="paragraph" w:styleId="para58" w:customStyle="1">
    <w:name w:val="xl11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color w:val="000000"/>
      <w:sz w:val="24"/>
      <w:szCs w:val="24"/>
    </w:rPr>
  </w:style>
  <w:style w:type="paragraph" w:styleId="para59" w:customStyle="1">
    <w:name w:val="xl115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2EFDA" tmshd="1677721856, 0, 14348258"/>
    </w:pPr>
    <w:rPr>
      <w:color w:val="000000"/>
      <w:sz w:val="24"/>
      <w:szCs w:val="24"/>
    </w:rPr>
  </w:style>
  <w:style w:type="paragraph" w:styleId="para60" w:customStyle="1">
    <w:name w:val="xl11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color w:val="000000"/>
      <w:sz w:val="24"/>
      <w:szCs w:val="24"/>
    </w:rPr>
  </w:style>
  <w:style w:type="paragraph" w:styleId="para61" w:customStyle="1">
    <w:name w:val="xl117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2" w:customStyle="1">
    <w:name w:val="xl11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BDD7EE" tmshd="1677721856, 0, 15652797"/>
    </w:pPr>
    <w:rPr>
      <w:color w:val="000000"/>
      <w:sz w:val="24"/>
      <w:szCs w:val="24"/>
    </w:rPr>
  </w:style>
  <w:style w:type="paragraph" w:styleId="para63" w:customStyle="1">
    <w:name w:val="xl11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4" w:customStyle="1">
    <w:name w:val="xl120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5" w:customStyle="1">
    <w:name w:val="xl12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000000"/>
      <w:sz w:val="24"/>
      <w:szCs w:val="24"/>
    </w:rPr>
  </w:style>
  <w:style w:type="paragraph" w:styleId="para66" w:customStyle="1">
    <w:name w:val="xl12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2EFDA" tmshd="1677721856, 0, 14348258"/>
    </w:pPr>
    <w:rPr>
      <w:color w:val="000000"/>
      <w:sz w:val="24"/>
      <w:szCs w:val="24"/>
    </w:rPr>
  </w:style>
  <w:style w:type="paragraph" w:styleId="para67" w:customStyle="1">
    <w:name w:val="xl123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8" w:customStyle="1">
    <w:name w:val="xl12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9" w:customStyle="1">
    <w:name w:val="xl125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0" w:customStyle="1">
    <w:name w:val="xl12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1" w:customStyle="1">
    <w:name w:val="xl127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72" w:customStyle="1">
    <w:name w:val="xl12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73" w:customStyle="1">
    <w:name w:val="xl12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74" w:customStyle="1">
    <w:name w:val="xl130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75" w:customStyle="1">
    <w:name w:val="xl13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6" w:customStyle="1">
    <w:name w:val="xl13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7" w:customStyle="1">
    <w:name w:val="xl133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8" w:customStyle="1">
    <w:name w:val="xl134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nil" w:sz="0" w:space="0" w:color="000000" tmln="2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9" w:customStyle="1">
    <w:name w:val="xl135"/>
    <w:qFormat/>
    <w:basedOn w:val="para0"/>
    <w:pPr>
      <w:spacing w:before="280" w:after="280"/>
      <w:jc w:val="center"/>
      <w:pBdr>
        <w:top w:val="nil" w:sz="0" w:space="0" w:color="000000" tmln="2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0" w:customStyle="1">
    <w:name w:val="xl136"/>
    <w:qFormat/>
    <w:basedOn w:val="para0"/>
    <w:pPr>
      <w:spacing w:before="280" w:after="280"/>
      <w:jc w:val="center"/>
      <w:pBdr>
        <w:top w:val="nil" w:sz="0" w:space="0" w:color="000000" tmln="2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1" w:customStyle="1">
    <w:name w:val="xl137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2" w:customStyle="1">
    <w:name w:val="xl13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3" w:customStyle="1">
    <w:name w:val="xl13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4" w:customStyle="1">
    <w:name w:val="xl140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5" w:customStyle="1">
    <w:name w:val="xl14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6" w:customStyle="1">
    <w:name w:val="xl14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7" w:customStyle="1">
    <w:name w:val="xl143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nil" w:sz="0" w:space="0" w:color="000000" tmln="2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8" w:customStyle="1">
    <w:name w:val="xl144"/>
    <w:qFormat/>
    <w:basedOn w:val="para0"/>
    <w:pPr>
      <w:spacing w:before="280" w:after="280"/>
      <w:jc w:val="center"/>
      <w:pBdr>
        <w:top w:val="nil" w:sz="0" w:space="0" w:color="000000" tmln="2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9" w:customStyle="1">
    <w:name w:val="xl145"/>
    <w:qFormat/>
    <w:basedOn w:val="para0"/>
    <w:pPr>
      <w:spacing w:before="280" w:after="280"/>
      <w:jc w:val="center"/>
      <w:pBdr>
        <w:top w:val="nil" w:sz="0" w:space="0" w:color="000000" tmln="2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0" w:customStyle="1">
    <w:name w:val="xl14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1" w:customStyle="1">
    <w:name w:val="xl147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2" w:customStyle="1">
    <w:name w:val="xl148"/>
    <w:qFormat/>
    <w:basedOn w:val="para0"/>
    <w:pPr>
      <w:spacing w:before="280" w:after="280"/>
      <w:jc w:val="center"/>
      <w:pBdr>
        <w:top w:val="nil" w:sz="0" w:space="0" w:color="000000" tmln="20, 20, 20, 0, 0"/>
        <w:left w:val="nil" w:sz="0" w:space="0" w:color="000000" tmln="2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3" w:customStyle="1">
    <w:name w:val="xl149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color w:val="000000"/>
      <w:sz w:val="24"/>
      <w:szCs w:val="24"/>
    </w:rPr>
  </w:style>
  <w:style w:type="paragraph" w:styleId="para94" w:customStyle="1">
    <w:name w:val="xl150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95" w:customStyle="1">
    <w:name w:val="xl151"/>
    <w:qFormat/>
    <w:basedOn w:val="para0"/>
    <w:pPr>
      <w:spacing w:before="280" w:after="280"/>
      <w:pBdr>
        <w:top w:val="single" w:sz="4" w:space="0" w:color="000000" tmln="1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6" w:customStyle="1">
    <w:name w:val="xl15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7" w:customStyle="1">
    <w:name w:val="xl153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8" w:customStyle="1">
    <w:name w:val="xl15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9" w:customStyle="1">
    <w:name w:val="xl155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nil" w:sz="0" w:space="0" w:color="000000" tmln="2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00" w:customStyle="1">
    <w:name w:val="xl156"/>
    <w:qFormat/>
    <w:basedOn w:val="para0"/>
    <w:pPr>
      <w:spacing w:before="280" w:after="280"/>
      <w:jc w:val="center"/>
      <w:pBdr>
        <w:top w:val="nil" w:sz="0" w:space="0" w:color="000000" tmln="2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01" w:customStyle="1">
    <w:name w:val="xl157"/>
    <w:qFormat/>
    <w:basedOn w:val="para0"/>
    <w:pPr>
      <w:spacing w:before="280" w:after="280"/>
      <w:jc w:val="center"/>
      <w:pBdr>
        <w:top w:val="nil" w:sz="0" w:space="0" w:color="000000" tmln="2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02" w:customStyle="1">
    <w:name w:val="Содержимое таблицы"/>
    <w:qFormat/>
    <w:basedOn w:val="para0"/>
    <w:pPr>
      <w:suppressLineNumbers/>
      <w:widowControl w:val="0"/>
    </w:pPr>
  </w:style>
  <w:style w:type="paragraph" w:styleId="para103" w:customStyle="1">
    <w:name w:val="Заголовок таблицы"/>
    <w:qFormat/>
    <w:basedOn w:val="para102"/>
    <w:pPr>
      <w:spacing/>
      <w:jc w:val="center"/>
    </w:pPr>
    <w:rPr>
      <w:b/>
      <w:bCs/>
    </w:rPr>
  </w:style>
  <w:style w:type="paragraph" w:styleId="para104">
    <w:name w:val="Normal (Web)"/>
    <w:qFormat/>
    <w:basedOn w:val="para0"/>
    <w:pPr>
      <w:spacing w:after="225"/>
    </w:pPr>
    <w:rPr>
      <w:sz w:val="24"/>
      <w:szCs w:val="24"/>
    </w:rPr>
  </w:style>
  <w:style w:type="paragraph" w:styleId="para105" w:customStyle="1">
    <w:name w:val="Название объекта1"/>
    <w:qFormat/>
    <w:basedOn w:val="para0"/>
    <w:next w:val="para0"/>
    <w:pPr>
      <w:spacing w:before="120"/>
      <w:jc w:val="both"/>
      <w:keepNext/>
    </w:pPr>
    <w:rPr>
      <w:b/>
      <w:bCs/>
      <w:sz w:val="24"/>
      <w:szCs w:val="24"/>
    </w:rPr>
  </w:style>
  <w:style w:type="paragraph" w:styleId="para106">
    <w:name w:val="Footer"/>
    <w:qFormat/>
    <w:basedOn w:val="para0"/>
    <w:pPr>
      <w:tabs defTabSz="708"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para107" w:customStyle="1">
    <w:name w:val="Основной текст с отступом 31"/>
    <w:qFormat/>
    <w:basedOn w:val="para0"/>
    <w:pPr>
      <w:ind w:firstLine="567"/>
      <w:spacing/>
      <w:jc w:val="both"/>
      <w:widowControl w:val="0"/>
      <w:tabs defTabSz="708">
        <w:tab w:val="left" w:pos="499" w:leader="none"/>
        <w:tab w:val="left" w:pos="8884" w:leader="none"/>
      </w:tabs>
    </w:pPr>
    <w:rPr>
      <w:sz w:val="28"/>
      <w:szCs w:val="24"/>
    </w:rPr>
  </w:style>
  <w:style w:type="paragraph" w:styleId="para108" w:customStyle="1">
    <w:name w:val="Основной текст2"/>
    <w:qFormat/>
    <w:basedOn w:val="para0"/>
    <w:pPr>
      <w:spacing w:after="300" w:line="326" w:lineRule="exact"/>
      <w:jc w:val="center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z w:val="26"/>
      <w:szCs w:val="26"/>
      <w:noProof w:val="1"/>
    </w:rPr>
  </w:style>
  <w:style w:type="paragraph" w:styleId="para109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10">
    <w:name w:val="List Paragraph"/>
    <w:qFormat/>
    <w:basedOn w:val="para0"/>
    <w:pPr>
      <w:ind w:left="720"/>
      <w:spacing w:after="200" w:line="276" w:lineRule="auto"/>
      <w:contextualSpacing/>
      <w:hyphenationLines w:val="1"/>
    </w:pPr>
    <w:rPr>
      <w:rFonts w:ascii="Calibri" w:hAnsi="Calibri" w:eastAsia="Calibri" w:cs="Calibri"/>
      <w:sz w:val="22"/>
      <w:szCs w:val="22"/>
      <w:lang w:eastAsia="ru-ru"/>
    </w:rPr>
  </w:style>
  <w:style w:type="character" w:styleId="char0" w:default="1">
    <w:name w:val="Default Paragraph Font"/>
  </w:style>
  <w:style w:type="character" w:styleId="char1" w:customStyle="1">
    <w:name w:val="WW8Num1z0"/>
  </w:style>
  <w:style w:type="character" w:styleId="char2" w:customStyle="1">
    <w:name w:val="Основной шрифт абзаца1"/>
  </w:style>
  <w:style w:type="character" w:styleId="char3">
    <w:name w:val="Hyperlink"/>
    <w:rPr>
      <w:color w:val="0563c1"/>
      <w:u w:color="auto" w:val="single"/>
    </w:rPr>
  </w:style>
  <w:style w:type="character" w:styleId="char4">
    <w:name w:val="FollowedHyperlink"/>
    <w:rPr>
      <w:color w:val="954f72"/>
      <w:u w:color="auto" w:val="single"/>
    </w:rPr>
  </w:style>
  <w:style w:type="character" w:styleId="char5" w:customStyle="1">
    <w:name w:val="WW8Num6z0"/>
    <w:rPr>
      <w:rFonts w:ascii="Symbol" w:hAnsi="Symbol" w:cs="Symbol"/>
    </w:rPr>
  </w:style>
  <w:style w:type="character" w:styleId="char6" w:customStyle="1">
    <w:name w:val="WW8Num6z1"/>
    <w:rPr>
      <w:rFonts w:ascii="Courier New" w:hAnsi="Courier New" w:cs="Courier New"/>
    </w:rPr>
  </w:style>
  <w:style w:type="character" w:styleId="char7" w:customStyle="1">
    <w:name w:val="WW8Num6z2"/>
    <w:rPr>
      <w:rFonts w:ascii="Wingdings" w:hAnsi="Wingdings" w:cs="Wingdings"/>
    </w:rPr>
  </w:style>
  <w:style w:type="character" w:styleId="char8" w:customStyle="1">
    <w:name w:val="WW8Num7z0"/>
    <w:rPr>
      <w:sz w:val="28"/>
    </w:rPr>
  </w:style>
  <w:style w:type="character" w:styleId="char9" w:customStyle="1">
    <w:name w:val="WW8Num20z0"/>
  </w:style>
  <w:style w:type="character" w:styleId="char10" w:customStyle="1">
    <w:name w:val="Текст выноски Знак"/>
    <w:rPr>
      <w:rFonts w:ascii="Segoe UI" w:hAnsi="Segoe UI" w:cs="Segoe UI"/>
      <w:sz w:val="18"/>
      <w:szCs w:val="18"/>
      <w:lang w:eastAsia="zh-cn"/>
    </w:rPr>
  </w:style>
  <w:style w:type="character" w:styleId="char11" w:customStyle="1">
    <w:name w:val="Абзац списка Знак"/>
    <w:rPr>
      <w:rFonts w:ascii="Calibri" w:hAnsi="Calibri" w:eastAsia="Calibri" w:cs="Calibri"/>
      <w:sz w:val="22"/>
      <w:szCs w:val="2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widowControl w:val="0"/>
    </w:pPr>
    <w:rPr>
      <w:rFonts w:ascii="Tahoma" w:hAnsi="Tahoma" w:eastAsia="Tahoma" w:cs="Tahoma"/>
      <w:sz w:val="24"/>
      <w:szCs w:val="24"/>
      <w:lang w:val="en-us" w:bidi="en-us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lang w:eastAsia="zh-cn"/>
    </w:rPr>
  </w:style>
  <w:style w:type="paragraph" w:styleId="para1">
    <w:name w:val="heading 1"/>
    <w:qFormat/>
    <w:basedOn w:val="para0"/>
    <w:next w:val="para0"/>
    <w:pPr>
      <w:numPr>
        <w:ilvl w:val="0"/>
        <w:numId w:val="1"/>
      </w:numPr>
      <w:ind w:left="0" w:firstLine="0"/>
      <w:spacing/>
      <w:jc w:val="center"/>
      <w:keepNext/>
      <w:outlineLvl w:val="0"/>
    </w:pPr>
    <w:rPr>
      <w:b/>
      <w:sz w:val="28"/>
    </w:rPr>
  </w:style>
  <w:style w:type="paragraph" w:styleId="para2">
    <w:name w:val="heading 2"/>
    <w:qFormat/>
    <w:basedOn w:val="para0"/>
    <w:next w:val="para0"/>
    <w:pPr>
      <w:numPr>
        <w:ilvl w:val="1"/>
        <w:numId w:val="1"/>
      </w:numPr>
      <w:ind w:left="0" w:firstLine="0"/>
      <w:spacing/>
      <w:jc w:val="center"/>
      <w:keepNext/>
      <w:outlineLvl w:val="1"/>
    </w:pPr>
    <w:rPr>
      <w:b/>
      <w:spacing w:val="40" w:percent="117"/>
      <w:sz w:val="48"/>
    </w:rPr>
  </w:style>
  <w:style w:type="paragraph" w:styleId="para3" w:customStyle="1">
    <w:name w:val="Заголовок1"/>
    <w:qFormat/>
    <w:basedOn w:val="para0"/>
    <w:next w:val="para4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4">
    <w:name w:val="Body Text"/>
    <w:qFormat/>
    <w:basedOn w:val="para0"/>
    <w:pPr>
      <w:spacing w:after="140" w:line="276" w:lineRule="auto"/>
    </w:pPr>
  </w:style>
  <w:style w:type="paragraph" w:styleId="para5">
    <w:name w:val="List"/>
    <w:qFormat/>
    <w:basedOn w:val="para4"/>
    <w:rPr>
      <w:rFonts w:ascii="PT Astra Serif" w:hAnsi="PT Astra Serif" w:cs="Noto Sans Devanagari"/>
    </w:rPr>
  </w:style>
  <w:style w:type="paragraph" w:styleId="para6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7" w:customStyle="1">
    <w:name w:val="Указатель1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8" w:customStyle="1">
    <w:name w:val="Caption1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9" w:customStyle="1">
    <w:name w:val="Caption11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10" w:customStyle="1">
    <w:name w:val="juscontextcxspmiddle"/>
    <w:qFormat/>
    <w:basedOn w:val="para0"/>
    <w:pPr>
      <w:spacing w:before="280" w:after="280"/>
    </w:pPr>
    <w:rPr>
      <w:sz w:val="24"/>
      <w:szCs w:val="24"/>
    </w:rPr>
  </w:style>
  <w:style w:type="paragraph" w:styleId="para11" w:customStyle="1">
    <w:name w:val="Знак Знак Знак Знак"/>
    <w:qFormat/>
    <w:basedOn w:val="para0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para12" w:customStyle="1">
    <w:name w:val="Char Char"/>
    <w:qFormat/>
    <w:basedOn w:val="para0"/>
    <w:pPr>
      <w:spacing w:after="160" w:line="240" w:lineRule="exact"/>
    </w:pPr>
    <w:rPr>
      <w:rFonts w:ascii="Verdana" w:hAnsi="Verdana" w:cs="Verdana"/>
      <w:lang w:val="en-us"/>
    </w:rPr>
  </w:style>
  <w:style w:type="paragraph" w:styleId="para13" w:customStyle="1">
    <w:name w:val="xl6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4" w:customStyle="1">
    <w:name w:val="xl70"/>
    <w:qFormat/>
    <w:basedOn w:val="para0"/>
    <w:pPr>
      <w:spacing w:before="280" w:after="280"/>
    </w:pPr>
    <w:rPr>
      <w:sz w:val="24"/>
      <w:szCs w:val="24"/>
    </w:rPr>
  </w:style>
  <w:style w:type="paragraph" w:styleId="para15" w:customStyle="1">
    <w:name w:val="xl7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6" w:customStyle="1">
    <w:name w:val="xl72"/>
    <w:qFormat/>
    <w:basedOn w:val="para0"/>
    <w:pPr>
      <w:spacing w:before="280" w:after="280"/>
    </w:pPr>
    <w:rPr>
      <w:sz w:val="24"/>
      <w:szCs w:val="24"/>
    </w:rPr>
  </w:style>
  <w:style w:type="paragraph" w:styleId="para17" w:customStyle="1">
    <w:name w:val="xl73"/>
    <w:qFormat/>
    <w:basedOn w:val="para0"/>
    <w:pPr>
      <w:spacing w:before="280" w:after="280"/>
      <w:jc w:val="center"/>
    </w:pPr>
    <w:rPr>
      <w:sz w:val="24"/>
      <w:szCs w:val="24"/>
    </w:rPr>
  </w:style>
  <w:style w:type="paragraph" w:styleId="para18" w:customStyle="1">
    <w:name w:val="xl74"/>
    <w:qFormat/>
    <w:basedOn w:val="para0"/>
    <w:pPr>
      <w:spacing w:before="280" w:after="280"/>
      <w:jc w:val="center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z w:val="24"/>
      <w:szCs w:val="24"/>
    </w:rPr>
  </w:style>
  <w:style w:type="paragraph" w:styleId="para19" w:customStyle="1">
    <w:name w:val="xl75"/>
    <w:qFormat/>
    <w:basedOn w:val="para0"/>
    <w:pPr>
      <w:spacing w:before="280" w:after="280"/>
    </w:pPr>
  </w:style>
  <w:style w:type="paragraph" w:styleId="para20" w:customStyle="1">
    <w:name w:val="xl7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21" w:customStyle="1">
    <w:name w:val="xl77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22" w:customStyle="1">
    <w:name w:val="xl7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23" w:customStyle="1">
    <w:name w:val="xl7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8"/>
      <w:szCs w:val="28"/>
    </w:rPr>
  </w:style>
  <w:style w:type="paragraph" w:styleId="para24" w:customStyle="1">
    <w:name w:val="xl80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25" w:customStyle="1">
    <w:name w:val="xl81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26" w:customStyle="1">
    <w:name w:val="xl8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27" w:customStyle="1">
    <w:name w:val="xl83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28" w:customStyle="1">
    <w:name w:val="xl8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29" w:customStyle="1">
    <w:name w:val="xl85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0" w:customStyle="1">
    <w:name w:val="xl8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1" w:customStyle="1">
    <w:name w:val="xl87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2" w:customStyle="1">
    <w:name w:val="xl8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3" w:customStyle="1">
    <w:name w:val="xl8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34" w:customStyle="1">
    <w:name w:val="xl90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35" w:customStyle="1">
    <w:name w:val="xl9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6" w:customStyle="1">
    <w:name w:val="xl9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7" w:customStyle="1">
    <w:name w:val="xl93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8"/>
      <w:szCs w:val="28"/>
    </w:rPr>
  </w:style>
  <w:style w:type="paragraph" w:styleId="para38" w:customStyle="1">
    <w:name w:val="xl9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39" w:customStyle="1">
    <w:name w:val="xl95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40" w:customStyle="1">
    <w:name w:val="xl9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41" w:customStyle="1">
    <w:name w:val="xl97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000000"/>
      <w:sz w:val="24"/>
      <w:szCs w:val="24"/>
    </w:rPr>
  </w:style>
  <w:style w:type="paragraph" w:styleId="para42" w:customStyle="1">
    <w:name w:val="xl98"/>
    <w:qFormat/>
    <w:basedOn w:val="para0"/>
    <w:pPr>
      <w:spacing w:before="280" w:after="280"/>
      <w:jc w:val="center"/>
      <w:pBdr>
        <w:top w:val="nil" w:sz="0" w:space="0" w:color="000000" tmln="2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000000"/>
      <w:sz w:val="24"/>
      <w:szCs w:val="24"/>
    </w:rPr>
  </w:style>
  <w:style w:type="paragraph" w:styleId="para43" w:customStyle="1">
    <w:name w:val="xl9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0" w:color="000000" tmln="2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4" w:customStyle="1">
    <w:name w:val="xl100"/>
    <w:qFormat/>
    <w:basedOn w:val="para0"/>
    <w:pPr>
      <w:spacing w:before="280" w:after="280"/>
      <w:jc w:val="center"/>
      <w:pBdr>
        <w:top w:val="nil" w:sz="0" w:space="0" w:color="000000" tmln="2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5" w:customStyle="1">
    <w:name w:val="xl10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6" w:customStyle="1">
    <w:name w:val="xl102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7" w:customStyle="1">
    <w:name w:val="xl103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48" w:customStyle="1">
    <w:name w:val="xl10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49" w:customStyle="1">
    <w:name w:val="xl105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sz w:val="28"/>
      <w:szCs w:val="28"/>
    </w:rPr>
  </w:style>
  <w:style w:type="paragraph" w:styleId="para50" w:customStyle="1">
    <w:name w:val="xl10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51" w:customStyle="1">
    <w:name w:val="xl107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8"/>
      <w:szCs w:val="28"/>
    </w:rPr>
  </w:style>
  <w:style w:type="paragraph" w:styleId="para52" w:customStyle="1">
    <w:name w:val="xl10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0" w:color="000000" tmln="2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000000"/>
      <w:sz w:val="24"/>
      <w:szCs w:val="24"/>
    </w:rPr>
  </w:style>
  <w:style w:type="paragraph" w:styleId="para53" w:customStyle="1">
    <w:name w:val="xl109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color w:val="000000"/>
      <w:sz w:val="24"/>
      <w:szCs w:val="24"/>
    </w:rPr>
  </w:style>
  <w:style w:type="paragraph" w:styleId="para54" w:customStyle="1">
    <w:name w:val="xl110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4"/>
      <w:szCs w:val="24"/>
    </w:rPr>
  </w:style>
  <w:style w:type="paragraph" w:styleId="para55" w:customStyle="1">
    <w:name w:val="xl111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000000"/>
      <w:sz w:val="24"/>
      <w:szCs w:val="24"/>
    </w:rPr>
  </w:style>
  <w:style w:type="paragraph" w:styleId="para56" w:customStyle="1">
    <w:name w:val="xl112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sz w:val="24"/>
      <w:szCs w:val="24"/>
    </w:rPr>
  </w:style>
  <w:style w:type="paragraph" w:styleId="para57" w:customStyle="1">
    <w:name w:val="xl113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2CC" tmshd="1677721856, 0, 13431551"/>
    </w:pPr>
    <w:rPr>
      <w:color w:val="000000"/>
      <w:sz w:val="24"/>
      <w:szCs w:val="24"/>
    </w:rPr>
  </w:style>
  <w:style w:type="paragraph" w:styleId="para58" w:customStyle="1">
    <w:name w:val="xl11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color w:val="000000"/>
      <w:sz w:val="24"/>
      <w:szCs w:val="24"/>
    </w:rPr>
  </w:style>
  <w:style w:type="paragraph" w:styleId="para59" w:customStyle="1">
    <w:name w:val="xl115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2EFDA" tmshd="1677721856, 0, 14348258"/>
    </w:pPr>
    <w:rPr>
      <w:color w:val="000000"/>
      <w:sz w:val="24"/>
      <w:szCs w:val="24"/>
    </w:rPr>
  </w:style>
  <w:style w:type="paragraph" w:styleId="para60" w:customStyle="1">
    <w:name w:val="xl11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color w:val="000000"/>
      <w:sz w:val="24"/>
      <w:szCs w:val="24"/>
    </w:rPr>
  </w:style>
  <w:style w:type="paragraph" w:styleId="para61" w:customStyle="1">
    <w:name w:val="xl117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2" w:customStyle="1">
    <w:name w:val="xl11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BDD7EE" tmshd="1677721856, 0, 15652797"/>
    </w:pPr>
    <w:rPr>
      <w:color w:val="000000"/>
      <w:sz w:val="24"/>
      <w:szCs w:val="24"/>
    </w:rPr>
  </w:style>
  <w:style w:type="paragraph" w:styleId="para63" w:customStyle="1">
    <w:name w:val="xl11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4" w:customStyle="1">
    <w:name w:val="xl120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5" w:customStyle="1">
    <w:name w:val="xl12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000000"/>
      <w:sz w:val="24"/>
      <w:szCs w:val="24"/>
    </w:rPr>
  </w:style>
  <w:style w:type="paragraph" w:styleId="para66" w:customStyle="1">
    <w:name w:val="xl12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2EFDA" tmshd="1677721856, 0, 14348258"/>
    </w:pPr>
    <w:rPr>
      <w:color w:val="000000"/>
      <w:sz w:val="24"/>
      <w:szCs w:val="24"/>
    </w:rPr>
  </w:style>
  <w:style w:type="paragraph" w:styleId="para67" w:customStyle="1">
    <w:name w:val="xl123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8" w:customStyle="1">
    <w:name w:val="xl12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69" w:customStyle="1">
    <w:name w:val="xl125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0" w:customStyle="1">
    <w:name w:val="xl12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1" w:customStyle="1">
    <w:name w:val="xl127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72" w:customStyle="1">
    <w:name w:val="xl12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73" w:customStyle="1">
    <w:name w:val="xl12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74" w:customStyle="1">
    <w:name w:val="xl130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75" w:customStyle="1">
    <w:name w:val="xl13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6" w:customStyle="1">
    <w:name w:val="xl13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7" w:customStyle="1">
    <w:name w:val="xl133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8" w:customStyle="1">
    <w:name w:val="xl134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nil" w:sz="0" w:space="0" w:color="000000" tmln="2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9" w:customStyle="1">
    <w:name w:val="xl135"/>
    <w:qFormat/>
    <w:basedOn w:val="para0"/>
    <w:pPr>
      <w:spacing w:before="280" w:after="280"/>
      <w:jc w:val="center"/>
      <w:pBdr>
        <w:top w:val="nil" w:sz="0" w:space="0" w:color="000000" tmln="2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0" w:customStyle="1">
    <w:name w:val="xl136"/>
    <w:qFormat/>
    <w:basedOn w:val="para0"/>
    <w:pPr>
      <w:spacing w:before="280" w:after="280"/>
      <w:jc w:val="center"/>
      <w:pBdr>
        <w:top w:val="nil" w:sz="0" w:space="0" w:color="000000" tmln="2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1" w:customStyle="1">
    <w:name w:val="xl137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2" w:customStyle="1">
    <w:name w:val="xl138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3" w:customStyle="1">
    <w:name w:val="xl139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4" w:customStyle="1">
    <w:name w:val="xl140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5" w:customStyle="1">
    <w:name w:val="xl141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6" w:customStyle="1">
    <w:name w:val="xl14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7" w:customStyle="1">
    <w:name w:val="xl143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nil" w:sz="0" w:space="0" w:color="000000" tmln="2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8" w:customStyle="1">
    <w:name w:val="xl144"/>
    <w:qFormat/>
    <w:basedOn w:val="para0"/>
    <w:pPr>
      <w:spacing w:before="280" w:after="280"/>
      <w:jc w:val="center"/>
      <w:pBdr>
        <w:top w:val="nil" w:sz="0" w:space="0" w:color="000000" tmln="2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89" w:customStyle="1">
    <w:name w:val="xl145"/>
    <w:qFormat/>
    <w:basedOn w:val="para0"/>
    <w:pPr>
      <w:spacing w:before="280" w:after="280"/>
      <w:jc w:val="center"/>
      <w:pBdr>
        <w:top w:val="nil" w:sz="0" w:space="0" w:color="000000" tmln="2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0" w:customStyle="1">
    <w:name w:val="xl146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1" w:customStyle="1">
    <w:name w:val="xl147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2" w:customStyle="1">
    <w:name w:val="xl148"/>
    <w:qFormat/>
    <w:basedOn w:val="para0"/>
    <w:pPr>
      <w:spacing w:before="280" w:after="280"/>
      <w:jc w:val="center"/>
      <w:pBdr>
        <w:top w:val="nil" w:sz="0" w:space="0" w:color="000000" tmln="20, 20, 20, 0, 0"/>
        <w:left w:val="nil" w:sz="0" w:space="0" w:color="000000" tmln="2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3" w:customStyle="1">
    <w:name w:val="xl149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FF" tmshd="1677721856, 0, 16777215"/>
    </w:pPr>
    <w:rPr>
      <w:b/>
      <w:bCs/>
      <w:color w:val="000000"/>
      <w:sz w:val="24"/>
      <w:szCs w:val="24"/>
    </w:rPr>
  </w:style>
  <w:style w:type="paragraph" w:styleId="para94" w:customStyle="1">
    <w:name w:val="xl150"/>
    <w:qFormat/>
    <w:basedOn w:val="para0"/>
    <w:pPr>
      <w:spacing w:before="280" w:after="280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b/>
      <w:bCs/>
      <w:sz w:val="24"/>
      <w:szCs w:val="24"/>
    </w:rPr>
  </w:style>
  <w:style w:type="paragraph" w:styleId="para95" w:customStyle="1">
    <w:name w:val="xl151"/>
    <w:qFormat/>
    <w:basedOn w:val="para0"/>
    <w:pPr>
      <w:spacing w:before="280" w:after="280"/>
      <w:pBdr>
        <w:top w:val="single" w:sz="4" w:space="0" w:color="000000" tmln="1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6" w:customStyle="1">
    <w:name w:val="xl152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7" w:customStyle="1">
    <w:name w:val="xl153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8" w:customStyle="1">
    <w:name w:val="xl154"/>
    <w:qFormat/>
    <w:basedOn w:val="para0"/>
    <w:pPr>
      <w:spacing w:before="280" w:after="280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99" w:customStyle="1">
    <w:name w:val="xl155"/>
    <w:qFormat/>
    <w:basedOn w:val="para0"/>
    <w:pPr>
      <w:spacing w:before="280" w:after="280"/>
      <w:jc w:val="center"/>
      <w:pBdr>
        <w:top w:val="single" w:sz="4" w:space="0" w:color="000000" tmln="10, 20, 20, 0, 0"/>
        <w:left w:val="nil" w:sz="0" w:space="0" w:color="000000" tmln="20, 20, 20, 0, 0"/>
        <w:bottom w:val="nil" w:sz="0" w:space="0" w:color="000000" tmln="2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00" w:customStyle="1">
    <w:name w:val="xl156"/>
    <w:qFormat/>
    <w:basedOn w:val="para0"/>
    <w:pPr>
      <w:spacing w:before="280" w:after="280"/>
      <w:jc w:val="center"/>
      <w:pBdr>
        <w:top w:val="nil" w:sz="0" w:space="0" w:color="000000" tmln="20, 20, 20, 0, 0"/>
        <w:left w:val="single" w:sz="4" w:space="0" w:color="000000" tmln="10, 20, 20, 0, 0"/>
        <w:bottom w:val="single" w:sz="4" w:space="0" w:color="000000" tmln="1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01" w:customStyle="1">
    <w:name w:val="xl157"/>
    <w:qFormat/>
    <w:basedOn w:val="para0"/>
    <w:pPr>
      <w:spacing w:before="280" w:after="280"/>
      <w:jc w:val="center"/>
      <w:pBdr>
        <w:top w:val="nil" w:sz="0" w:space="0" w:color="000000" tmln="20, 20, 20, 0, 0"/>
        <w:left w:val="nil" w:sz="0" w:space="0" w:color="000000" tmln="2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02" w:customStyle="1">
    <w:name w:val="Содержимое таблицы"/>
    <w:qFormat/>
    <w:basedOn w:val="para0"/>
    <w:pPr>
      <w:suppressLineNumbers/>
      <w:widowControl w:val="0"/>
    </w:pPr>
  </w:style>
  <w:style w:type="paragraph" w:styleId="para103" w:customStyle="1">
    <w:name w:val="Заголовок таблицы"/>
    <w:qFormat/>
    <w:basedOn w:val="para102"/>
    <w:pPr>
      <w:spacing/>
      <w:jc w:val="center"/>
    </w:pPr>
    <w:rPr>
      <w:b/>
      <w:bCs/>
    </w:rPr>
  </w:style>
  <w:style w:type="paragraph" w:styleId="para104">
    <w:name w:val="Normal (Web)"/>
    <w:qFormat/>
    <w:basedOn w:val="para0"/>
    <w:pPr>
      <w:spacing w:after="225"/>
    </w:pPr>
    <w:rPr>
      <w:sz w:val="24"/>
      <w:szCs w:val="24"/>
    </w:rPr>
  </w:style>
  <w:style w:type="paragraph" w:styleId="para105" w:customStyle="1">
    <w:name w:val="Название объекта1"/>
    <w:qFormat/>
    <w:basedOn w:val="para0"/>
    <w:next w:val="para0"/>
    <w:pPr>
      <w:spacing w:before="120"/>
      <w:jc w:val="both"/>
      <w:keepNext/>
    </w:pPr>
    <w:rPr>
      <w:b/>
      <w:bCs/>
      <w:sz w:val="24"/>
      <w:szCs w:val="24"/>
    </w:rPr>
  </w:style>
  <w:style w:type="paragraph" w:styleId="para106">
    <w:name w:val="Footer"/>
    <w:qFormat/>
    <w:basedOn w:val="para0"/>
    <w:pPr>
      <w:tabs defTabSz="708"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para107" w:customStyle="1">
    <w:name w:val="Основной текст с отступом 31"/>
    <w:qFormat/>
    <w:basedOn w:val="para0"/>
    <w:pPr>
      <w:ind w:firstLine="567"/>
      <w:spacing/>
      <w:jc w:val="both"/>
      <w:widowControl w:val="0"/>
      <w:tabs defTabSz="708">
        <w:tab w:val="left" w:pos="499" w:leader="none"/>
        <w:tab w:val="left" w:pos="8884" w:leader="none"/>
      </w:tabs>
    </w:pPr>
    <w:rPr>
      <w:sz w:val="28"/>
      <w:szCs w:val="24"/>
    </w:rPr>
  </w:style>
  <w:style w:type="paragraph" w:styleId="para108" w:customStyle="1">
    <w:name w:val="Основной текст2"/>
    <w:qFormat/>
    <w:basedOn w:val="para0"/>
    <w:pPr>
      <w:spacing w:after="300" w:line="326" w:lineRule="exact"/>
      <w:jc w:val="center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z w:val="26"/>
      <w:szCs w:val="26"/>
      <w:noProof w:val="1"/>
    </w:rPr>
  </w:style>
  <w:style w:type="paragraph" w:styleId="para109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10">
    <w:name w:val="List Paragraph"/>
    <w:qFormat/>
    <w:basedOn w:val="para0"/>
    <w:pPr>
      <w:ind w:left="720"/>
      <w:spacing w:after="200" w:line="276" w:lineRule="auto"/>
      <w:contextualSpacing/>
      <w:hyphenationLines w:val="1"/>
    </w:pPr>
    <w:rPr>
      <w:rFonts w:ascii="Calibri" w:hAnsi="Calibri" w:eastAsia="Calibri" w:cs="Calibri"/>
      <w:sz w:val="22"/>
      <w:szCs w:val="22"/>
      <w:lang w:eastAsia="ru-ru"/>
    </w:rPr>
  </w:style>
  <w:style w:type="character" w:styleId="char0" w:default="1">
    <w:name w:val="Default Paragraph Font"/>
  </w:style>
  <w:style w:type="character" w:styleId="char1" w:customStyle="1">
    <w:name w:val="WW8Num1z0"/>
  </w:style>
  <w:style w:type="character" w:styleId="char2" w:customStyle="1">
    <w:name w:val="Основной шрифт абзаца1"/>
  </w:style>
  <w:style w:type="character" w:styleId="char3">
    <w:name w:val="Hyperlink"/>
    <w:rPr>
      <w:color w:val="0563c1"/>
      <w:u w:color="auto" w:val="single"/>
    </w:rPr>
  </w:style>
  <w:style w:type="character" w:styleId="char4">
    <w:name w:val="FollowedHyperlink"/>
    <w:rPr>
      <w:color w:val="954f72"/>
      <w:u w:color="auto" w:val="single"/>
    </w:rPr>
  </w:style>
  <w:style w:type="character" w:styleId="char5" w:customStyle="1">
    <w:name w:val="WW8Num6z0"/>
    <w:rPr>
      <w:rFonts w:ascii="Symbol" w:hAnsi="Symbol" w:cs="Symbol"/>
    </w:rPr>
  </w:style>
  <w:style w:type="character" w:styleId="char6" w:customStyle="1">
    <w:name w:val="WW8Num6z1"/>
    <w:rPr>
      <w:rFonts w:ascii="Courier New" w:hAnsi="Courier New" w:cs="Courier New"/>
    </w:rPr>
  </w:style>
  <w:style w:type="character" w:styleId="char7" w:customStyle="1">
    <w:name w:val="WW8Num6z2"/>
    <w:rPr>
      <w:rFonts w:ascii="Wingdings" w:hAnsi="Wingdings" w:cs="Wingdings"/>
    </w:rPr>
  </w:style>
  <w:style w:type="character" w:styleId="char8" w:customStyle="1">
    <w:name w:val="WW8Num7z0"/>
    <w:rPr>
      <w:sz w:val="28"/>
    </w:rPr>
  </w:style>
  <w:style w:type="character" w:styleId="char9" w:customStyle="1">
    <w:name w:val="WW8Num20z0"/>
  </w:style>
  <w:style w:type="character" w:styleId="char10" w:customStyle="1">
    <w:name w:val="Текст выноски Знак"/>
    <w:rPr>
      <w:rFonts w:ascii="Segoe UI" w:hAnsi="Segoe UI" w:cs="Segoe UI"/>
      <w:sz w:val="18"/>
      <w:szCs w:val="18"/>
      <w:lang w:eastAsia="zh-cn"/>
    </w:rPr>
  </w:style>
  <w:style w:type="character" w:styleId="char11" w:customStyle="1">
    <w:name w:val="Абзац списка Знак"/>
    <w:rPr>
      <w:rFonts w:ascii="Calibri" w:hAnsi="Calibri" w:eastAsia="Calibri" w:cs="Calibri"/>
      <w:sz w:val="22"/>
      <w:szCs w:val="2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widowControl w:val="0"/>
    </w:pPr>
    <w:rPr>
      <w:rFonts w:ascii="Tahoma" w:hAnsi="Tahoma" w:eastAsia="Tahoma" w:cs="Tahoma"/>
      <w:sz w:val="24"/>
      <w:szCs w:val="24"/>
      <w:lang w:val="en-us" w:bidi="en-us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dc:description/>
  <cp:lastModifiedBy/>
  <cp:revision>9</cp:revision>
  <cp:lastPrinted>2025-08-01T02:14:00Z</cp:lastPrinted>
  <dcterms:created xsi:type="dcterms:W3CDTF">2025-07-03T01:44:00Z</dcterms:created>
  <dcterms:modified xsi:type="dcterms:W3CDTF">2025-08-04T03:47:15Z</dcterms:modified>
</cp:coreProperties>
</file>